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BD84" w14:textId="694C58CE" w:rsidR="00621F73" w:rsidRPr="00C87891" w:rsidRDefault="001718C8" w:rsidP="00266397">
      <w:pPr>
        <w:pStyle w:val="Title"/>
      </w:pPr>
      <w:r>
        <w:t xml:space="preserve">Annex </w:t>
      </w:r>
      <w:r w:rsidR="0075650B">
        <w:t>3:</w:t>
      </w:r>
      <w:r>
        <w:t xml:space="preserve"> </w:t>
      </w:r>
      <w:r w:rsidR="00266397" w:rsidRPr="00C87891">
        <w:t xml:space="preserve">Policy </w:t>
      </w:r>
      <w:r w:rsidR="000946B9" w:rsidRPr="00C87891">
        <w:t xml:space="preserve">on </w:t>
      </w:r>
      <w:r w:rsidR="00D67CEF" w:rsidRPr="00C87891">
        <w:t>A</w:t>
      </w:r>
      <w:r w:rsidR="000946B9" w:rsidRPr="00C87891">
        <w:t xml:space="preserve">ccounting and </w:t>
      </w:r>
      <w:r w:rsidR="00D67CEF" w:rsidRPr="00C87891">
        <w:t>S</w:t>
      </w:r>
      <w:r w:rsidR="000946B9" w:rsidRPr="00C87891">
        <w:t>ettlement</w:t>
      </w:r>
    </w:p>
    <w:tbl>
      <w:tblPr>
        <w:tblW w:w="9274" w:type="dxa"/>
        <w:tblInd w:w="101" w:type="dxa"/>
        <w:tblLayout w:type="fixed"/>
        <w:tblCellMar>
          <w:left w:w="0" w:type="dxa"/>
          <w:right w:w="0" w:type="dxa"/>
        </w:tblCellMar>
        <w:tblLook w:val="01E0" w:firstRow="1" w:lastRow="1" w:firstColumn="1" w:lastColumn="1" w:noHBand="0" w:noVBand="0"/>
      </w:tblPr>
      <w:tblGrid>
        <w:gridCol w:w="705"/>
        <w:gridCol w:w="781"/>
        <w:gridCol w:w="1342"/>
        <w:gridCol w:w="3167"/>
        <w:gridCol w:w="3279"/>
      </w:tblGrid>
      <w:tr w:rsidR="00F82CA9" w:rsidRPr="00C87891" w14:paraId="7844E3D7" w14:textId="77777777" w:rsidTr="003F4575">
        <w:trPr>
          <w:trHeight w:hRule="exact" w:val="420"/>
        </w:trPr>
        <w:tc>
          <w:tcPr>
            <w:tcW w:w="705" w:type="dxa"/>
            <w:tcBorders>
              <w:top w:val="nil"/>
              <w:left w:val="nil"/>
              <w:bottom w:val="nil"/>
              <w:right w:val="nil"/>
            </w:tcBorders>
          </w:tcPr>
          <w:p w14:paraId="1E135223" w14:textId="77777777" w:rsidR="00F82CA9" w:rsidRPr="00C87891" w:rsidRDefault="00F82CA9" w:rsidP="00F6180B">
            <w:pPr>
              <w:jc w:val="left"/>
              <w:rPr>
                <w:rFonts w:ascii="Arial" w:eastAsia="Arial" w:hAnsi="Arial" w:cs="Arial"/>
                <w:b/>
              </w:rPr>
            </w:pPr>
          </w:p>
        </w:tc>
        <w:tc>
          <w:tcPr>
            <w:tcW w:w="781" w:type="dxa"/>
            <w:tcBorders>
              <w:top w:val="nil"/>
              <w:left w:val="nil"/>
              <w:bottom w:val="nil"/>
              <w:right w:val="nil"/>
            </w:tcBorders>
          </w:tcPr>
          <w:p w14:paraId="6642D2BE" w14:textId="77777777" w:rsidR="00F82CA9" w:rsidRPr="00C87891" w:rsidRDefault="00F82CA9" w:rsidP="00F82CA9">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2C9BAE8C" w14:textId="77777777" w:rsidR="00F82CA9" w:rsidRPr="00C87891" w:rsidRDefault="00F82CA9" w:rsidP="00F82CA9">
            <w:pPr>
              <w:spacing w:before="71" w:after="0" w:line="240" w:lineRule="auto"/>
              <w:ind w:left="73" w:right="-20"/>
              <w:rPr>
                <w:rFonts w:ascii="Arial" w:eastAsia="Arial" w:hAnsi="Arial" w:cs="Arial"/>
                <w:b/>
              </w:rPr>
            </w:pPr>
          </w:p>
        </w:tc>
        <w:tc>
          <w:tcPr>
            <w:tcW w:w="3167" w:type="dxa"/>
            <w:tcBorders>
              <w:top w:val="nil"/>
              <w:left w:val="nil"/>
              <w:bottom w:val="nil"/>
              <w:right w:val="nil"/>
            </w:tcBorders>
          </w:tcPr>
          <w:p w14:paraId="6B83FD6F" w14:textId="77777777" w:rsidR="00F82CA9" w:rsidRPr="00C87891" w:rsidRDefault="00F82CA9" w:rsidP="00F82CA9">
            <w:pPr>
              <w:spacing w:before="71" w:after="0" w:line="240" w:lineRule="auto"/>
              <w:ind w:left="169" w:right="-20"/>
              <w:rPr>
                <w:rFonts w:ascii="Arial" w:eastAsia="Arial" w:hAnsi="Arial" w:cs="Arial"/>
                <w:b/>
              </w:rPr>
            </w:pPr>
          </w:p>
        </w:tc>
        <w:tc>
          <w:tcPr>
            <w:tcW w:w="3279" w:type="dxa"/>
            <w:tcBorders>
              <w:top w:val="nil"/>
              <w:left w:val="nil"/>
              <w:bottom w:val="nil"/>
              <w:right w:val="nil"/>
            </w:tcBorders>
          </w:tcPr>
          <w:p w14:paraId="419E7D97" w14:textId="77777777" w:rsidR="00F82CA9" w:rsidRPr="00C87891" w:rsidRDefault="00F82CA9" w:rsidP="00F82CA9">
            <w:pPr>
              <w:spacing w:before="71" w:after="0" w:line="240" w:lineRule="auto"/>
              <w:ind w:left="231" w:right="-20"/>
              <w:rPr>
                <w:rFonts w:ascii="Arial" w:eastAsia="Arial" w:hAnsi="Arial" w:cs="Arial"/>
                <w:b/>
              </w:rPr>
            </w:pPr>
          </w:p>
        </w:tc>
      </w:tr>
      <w:tr w:rsidR="00F82CA9" w:rsidRPr="00C87891" w14:paraId="7D3164EF" w14:textId="77777777" w:rsidTr="003F4575">
        <w:trPr>
          <w:trHeight w:hRule="exact" w:val="420"/>
        </w:trPr>
        <w:tc>
          <w:tcPr>
            <w:tcW w:w="705" w:type="dxa"/>
            <w:tcBorders>
              <w:top w:val="nil"/>
              <w:left w:val="nil"/>
              <w:bottom w:val="nil"/>
              <w:right w:val="nil"/>
            </w:tcBorders>
          </w:tcPr>
          <w:p w14:paraId="05E5B515"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58609169"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0BB75E7C"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14B07FC2"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5221FE9B"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68DBCB23" w14:textId="77777777" w:rsidTr="003F4575">
        <w:trPr>
          <w:trHeight w:hRule="exact" w:val="420"/>
        </w:trPr>
        <w:tc>
          <w:tcPr>
            <w:tcW w:w="705" w:type="dxa"/>
            <w:tcBorders>
              <w:top w:val="nil"/>
              <w:left w:val="nil"/>
              <w:bottom w:val="nil"/>
              <w:right w:val="nil"/>
            </w:tcBorders>
          </w:tcPr>
          <w:p w14:paraId="6AFA22DA"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1917F31E"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6D68B5B"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2FAD0A83"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1C78FF03"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5A184AA6" w14:textId="77777777" w:rsidTr="003F4575">
        <w:trPr>
          <w:trHeight w:hRule="exact" w:val="420"/>
        </w:trPr>
        <w:tc>
          <w:tcPr>
            <w:tcW w:w="705" w:type="dxa"/>
            <w:tcBorders>
              <w:top w:val="nil"/>
              <w:left w:val="nil"/>
              <w:bottom w:val="nil"/>
              <w:right w:val="nil"/>
            </w:tcBorders>
          </w:tcPr>
          <w:p w14:paraId="530CEEA2"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322B8C6D"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BB707B1"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47AEDFD3"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1ACD8948"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4474C45B" w14:textId="77777777" w:rsidTr="003F4575">
        <w:trPr>
          <w:trHeight w:hRule="exact" w:val="420"/>
        </w:trPr>
        <w:tc>
          <w:tcPr>
            <w:tcW w:w="705" w:type="dxa"/>
            <w:tcBorders>
              <w:top w:val="nil"/>
              <w:left w:val="nil"/>
              <w:bottom w:val="nil"/>
              <w:right w:val="nil"/>
            </w:tcBorders>
          </w:tcPr>
          <w:p w14:paraId="70F4A4AF"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745EBA5E"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71209E75"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0B6BE784"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459D73EA"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3E7B1C97" w14:textId="77777777" w:rsidTr="003F4575">
        <w:trPr>
          <w:trHeight w:hRule="exact" w:val="420"/>
        </w:trPr>
        <w:tc>
          <w:tcPr>
            <w:tcW w:w="705" w:type="dxa"/>
            <w:tcBorders>
              <w:top w:val="nil"/>
              <w:left w:val="nil"/>
              <w:bottom w:val="nil"/>
              <w:right w:val="nil"/>
            </w:tcBorders>
          </w:tcPr>
          <w:p w14:paraId="4E9DA38F"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10989040"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7E29EEC"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5BF79C00"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452884CA"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47350C1E" w14:textId="77777777" w:rsidTr="003F4575">
        <w:trPr>
          <w:trHeight w:hRule="exact" w:val="420"/>
        </w:trPr>
        <w:tc>
          <w:tcPr>
            <w:tcW w:w="705" w:type="dxa"/>
            <w:tcBorders>
              <w:top w:val="nil"/>
              <w:left w:val="nil"/>
              <w:bottom w:val="nil"/>
              <w:right w:val="nil"/>
            </w:tcBorders>
          </w:tcPr>
          <w:p w14:paraId="14049337"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0E906DF7"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55D74D0F"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3FB4185C"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7B174813"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05A3F067" w14:textId="77777777" w:rsidTr="003F4575">
        <w:trPr>
          <w:trHeight w:hRule="exact" w:val="420"/>
        </w:trPr>
        <w:tc>
          <w:tcPr>
            <w:tcW w:w="705" w:type="dxa"/>
            <w:tcBorders>
              <w:top w:val="nil"/>
              <w:left w:val="nil"/>
              <w:bottom w:val="nil"/>
              <w:right w:val="nil"/>
            </w:tcBorders>
          </w:tcPr>
          <w:p w14:paraId="591EC79E"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0CDCE7BF"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11B33AB8"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23E05E64"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7191E8FC"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37F91B94" w14:textId="77777777" w:rsidTr="003F4575">
        <w:trPr>
          <w:trHeight w:hRule="exact" w:val="1204"/>
        </w:trPr>
        <w:tc>
          <w:tcPr>
            <w:tcW w:w="705" w:type="dxa"/>
            <w:tcBorders>
              <w:top w:val="nil"/>
              <w:left w:val="nil"/>
              <w:bottom w:val="nil"/>
              <w:right w:val="nil"/>
            </w:tcBorders>
          </w:tcPr>
          <w:p w14:paraId="7D4A65C6" w14:textId="77777777" w:rsidR="00F82CA9" w:rsidRPr="00C87891" w:rsidRDefault="00F82CA9" w:rsidP="00F82CA9">
            <w:pPr>
              <w:spacing w:before="71" w:after="0" w:line="240" w:lineRule="auto"/>
              <w:ind w:left="119" w:right="-20"/>
              <w:rPr>
                <w:rFonts w:ascii="Arial" w:eastAsia="Arial" w:hAnsi="Arial" w:cs="Arial"/>
                <w:b/>
                <w:bCs/>
              </w:rPr>
            </w:pPr>
          </w:p>
        </w:tc>
        <w:tc>
          <w:tcPr>
            <w:tcW w:w="781" w:type="dxa"/>
            <w:tcBorders>
              <w:top w:val="nil"/>
              <w:left w:val="nil"/>
              <w:bottom w:val="nil"/>
              <w:right w:val="nil"/>
            </w:tcBorders>
          </w:tcPr>
          <w:p w14:paraId="2A2F4C46" w14:textId="77777777" w:rsidR="00F82CA9" w:rsidRPr="00C87891" w:rsidRDefault="00F82CA9" w:rsidP="00F82CA9">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738DF045" w14:textId="77777777" w:rsidR="00F82CA9" w:rsidRPr="00C87891" w:rsidRDefault="00F82CA9" w:rsidP="00F82CA9">
            <w:pPr>
              <w:spacing w:before="71" w:after="0" w:line="240" w:lineRule="auto"/>
              <w:ind w:left="73" w:right="-20"/>
              <w:rPr>
                <w:rFonts w:ascii="Arial" w:eastAsia="Arial" w:hAnsi="Arial" w:cs="Arial"/>
                <w:b/>
                <w:bCs/>
              </w:rPr>
            </w:pPr>
          </w:p>
        </w:tc>
        <w:tc>
          <w:tcPr>
            <w:tcW w:w="3167" w:type="dxa"/>
            <w:tcBorders>
              <w:top w:val="nil"/>
              <w:left w:val="nil"/>
              <w:bottom w:val="nil"/>
              <w:right w:val="nil"/>
            </w:tcBorders>
          </w:tcPr>
          <w:p w14:paraId="274774EA" w14:textId="77777777" w:rsidR="00F82CA9" w:rsidRPr="00C87891" w:rsidRDefault="00F82CA9" w:rsidP="00F82CA9">
            <w:pPr>
              <w:spacing w:before="71" w:after="0" w:line="240" w:lineRule="auto"/>
              <w:ind w:left="169" w:right="-20"/>
              <w:rPr>
                <w:rFonts w:ascii="Arial" w:eastAsia="Arial" w:hAnsi="Arial" w:cs="Arial"/>
                <w:b/>
                <w:bCs/>
              </w:rPr>
            </w:pPr>
          </w:p>
        </w:tc>
        <w:tc>
          <w:tcPr>
            <w:tcW w:w="3279" w:type="dxa"/>
            <w:tcBorders>
              <w:top w:val="nil"/>
              <w:left w:val="nil"/>
              <w:bottom w:val="nil"/>
              <w:right w:val="nil"/>
            </w:tcBorders>
          </w:tcPr>
          <w:p w14:paraId="7B5CF392" w14:textId="77777777" w:rsidR="00F82CA9" w:rsidRPr="00C87891" w:rsidRDefault="00F82CA9" w:rsidP="00F82CA9">
            <w:pPr>
              <w:spacing w:before="71" w:after="0" w:line="240" w:lineRule="auto"/>
              <w:ind w:left="232" w:right="-20"/>
              <w:rPr>
                <w:rFonts w:ascii="Arial" w:eastAsia="Arial" w:hAnsi="Arial" w:cs="Arial"/>
                <w:b/>
                <w:bCs/>
              </w:rPr>
            </w:pPr>
          </w:p>
        </w:tc>
      </w:tr>
    </w:tbl>
    <w:p w14:paraId="6AA3DA33" w14:textId="357ACE3F" w:rsidR="00F107B7" w:rsidRDefault="00F107B7" w:rsidP="00C73E32"/>
    <w:p w14:paraId="434729A4" w14:textId="77777777" w:rsidR="00F107B7" w:rsidRDefault="00F107B7">
      <w:pPr>
        <w:jc w:val="left"/>
      </w:pPr>
      <w:r>
        <w:br w:type="page"/>
      </w:r>
    </w:p>
    <w:p w14:paraId="0FFB4460" w14:textId="40069A09" w:rsidR="00C73E32" w:rsidRDefault="00F107B7" w:rsidP="00C73E32">
      <w:pPr>
        <w:rPr>
          <w:b/>
          <w:bCs/>
        </w:rPr>
      </w:pPr>
      <w:r w:rsidRPr="00F107B7">
        <w:rPr>
          <w:b/>
          <w:bCs/>
        </w:rPr>
        <w:lastRenderedPageBreak/>
        <w:t>Version History Table</w:t>
      </w:r>
    </w:p>
    <w:tbl>
      <w:tblPr>
        <w:tblStyle w:val="StandradTable-ENTSO-E1"/>
        <w:tblW w:w="5000" w:type="pct"/>
        <w:tblInd w:w="0" w:type="dxa"/>
        <w:tblLook w:val="04A0" w:firstRow="1" w:lastRow="0" w:firstColumn="1" w:lastColumn="0" w:noHBand="0" w:noVBand="1"/>
      </w:tblPr>
      <w:tblGrid>
        <w:gridCol w:w="1608"/>
        <w:gridCol w:w="7454"/>
      </w:tblGrid>
      <w:tr w:rsidR="00F107B7" w:rsidRPr="00F107B7" w14:paraId="17720EFC"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59CBB22F" w14:textId="77777777" w:rsidR="00F107B7" w:rsidRPr="00F107B7" w:rsidRDefault="00F107B7" w:rsidP="00F107B7">
            <w:pPr>
              <w:jc w:val="left"/>
              <w:rPr>
                <w:rFonts w:ascii="Calibri" w:eastAsia="Barlow Semi Condensed" w:hAnsi="Calibri" w:cs="Calibri"/>
                <w:b/>
                <w:bCs/>
              </w:rPr>
            </w:pPr>
            <w:r w:rsidRPr="00F107B7">
              <w:rPr>
                <w:rFonts w:ascii="Calibri" w:eastAsia="Barlow Semi Condensed" w:hAnsi="Calibri" w:cs="Calibri"/>
                <w:b/>
                <w:bCs/>
              </w:rPr>
              <w:t>Date</w:t>
            </w:r>
          </w:p>
        </w:tc>
        <w:tc>
          <w:tcPr>
            <w:tcW w:w="4113" w:type="pct"/>
            <w:tcBorders>
              <w:top w:val="single" w:sz="4" w:space="0" w:color="auto"/>
              <w:left w:val="single" w:sz="4" w:space="0" w:color="auto"/>
              <w:bottom w:val="single" w:sz="4" w:space="0" w:color="auto"/>
              <w:right w:val="single" w:sz="4" w:space="0" w:color="auto"/>
            </w:tcBorders>
            <w:hideMark/>
          </w:tcPr>
          <w:p w14:paraId="767F9488" w14:textId="77777777" w:rsidR="00F107B7" w:rsidRPr="00F107B7" w:rsidRDefault="00F107B7" w:rsidP="00F107B7">
            <w:pPr>
              <w:jc w:val="left"/>
              <w:rPr>
                <w:rFonts w:ascii="Calibri" w:eastAsia="Barlow Semi Condensed" w:hAnsi="Calibri" w:cs="Calibri"/>
                <w:b/>
                <w:bCs/>
              </w:rPr>
            </w:pPr>
            <w:r w:rsidRPr="00F107B7">
              <w:rPr>
                <w:rFonts w:ascii="Calibri" w:eastAsia="Barlow Semi Condensed" w:hAnsi="Calibri" w:cs="Calibri"/>
                <w:b/>
                <w:bCs/>
              </w:rPr>
              <w:t>Description</w:t>
            </w:r>
          </w:p>
        </w:tc>
      </w:tr>
      <w:tr w:rsidR="00F107B7" w:rsidRPr="00F107B7" w14:paraId="529DA44D"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0DB58A7A" w14:textId="77777777" w:rsidR="00F107B7" w:rsidRPr="00F107B7" w:rsidRDefault="00F107B7" w:rsidP="00F107B7">
            <w:pPr>
              <w:jc w:val="left"/>
              <w:rPr>
                <w:rFonts w:ascii="Calibri" w:eastAsia="Barlow Semi Condensed" w:hAnsi="Calibri" w:cs="Calibri"/>
              </w:rPr>
            </w:pPr>
            <w:r w:rsidRPr="00F107B7">
              <w:rPr>
                <w:rFonts w:ascii="Calibri" w:eastAsia="Barlow Semi Condensed" w:hAnsi="Calibri" w:cs="Calibri"/>
              </w:rPr>
              <w:t>14/04/2019</w:t>
            </w:r>
          </w:p>
        </w:tc>
        <w:tc>
          <w:tcPr>
            <w:tcW w:w="4113" w:type="pct"/>
            <w:tcBorders>
              <w:top w:val="single" w:sz="4" w:space="0" w:color="auto"/>
              <w:left w:val="single" w:sz="4" w:space="0" w:color="auto"/>
              <w:bottom w:val="single" w:sz="4" w:space="0" w:color="auto"/>
              <w:right w:val="single" w:sz="4" w:space="0" w:color="auto"/>
            </w:tcBorders>
            <w:hideMark/>
          </w:tcPr>
          <w:p w14:paraId="088E3541" w14:textId="77777777" w:rsidR="00F107B7" w:rsidRPr="00F107B7" w:rsidRDefault="00F107B7" w:rsidP="00F107B7">
            <w:pPr>
              <w:jc w:val="left"/>
              <w:rPr>
                <w:rFonts w:ascii="Calibri" w:eastAsia="Barlow Semi Condensed" w:hAnsi="Calibri" w:cs="Calibri"/>
              </w:rPr>
            </w:pPr>
            <w:r w:rsidRPr="00F107B7">
              <w:rPr>
                <w:rFonts w:ascii="Calibri" w:eastAsia="Barlow Semi Condensed" w:hAnsi="Calibri" w:cs="Calibri"/>
              </w:rPr>
              <w:t>SAFA entry into force</w:t>
            </w:r>
          </w:p>
        </w:tc>
      </w:tr>
      <w:tr w:rsidR="00F107B7" w:rsidRPr="00F107B7" w14:paraId="247F08BE" w14:textId="77777777" w:rsidTr="00B76BF4">
        <w:tc>
          <w:tcPr>
            <w:tcW w:w="887" w:type="pct"/>
            <w:tcBorders>
              <w:top w:val="single" w:sz="4" w:space="0" w:color="auto"/>
              <w:left w:val="single" w:sz="4" w:space="0" w:color="auto"/>
              <w:bottom w:val="single" w:sz="4" w:space="0" w:color="auto"/>
              <w:right w:val="single" w:sz="4" w:space="0" w:color="auto"/>
            </w:tcBorders>
          </w:tcPr>
          <w:p w14:paraId="04B505D4"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23/05/2019</w:t>
            </w:r>
          </w:p>
        </w:tc>
        <w:tc>
          <w:tcPr>
            <w:tcW w:w="4113" w:type="pct"/>
            <w:tcBorders>
              <w:top w:val="single" w:sz="4" w:space="0" w:color="auto"/>
              <w:left w:val="single" w:sz="4" w:space="0" w:color="auto"/>
              <w:bottom w:val="single" w:sz="4" w:space="0" w:color="auto"/>
              <w:right w:val="single" w:sz="4" w:space="0" w:color="auto"/>
            </w:tcBorders>
          </w:tcPr>
          <w:p w14:paraId="2FAD400D"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SAFA Amendment 1 is applied to Articles A-1 and A-2, after SAFA Parties’ and MC approval. Pending NRA approval.</w:t>
            </w:r>
          </w:p>
        </w:tc>
      </w:tr>
      <w:tr w:rsidR="00F107B7" w:rsidRPr="00F107B7" w14:paraId="40F50012" w14:textId="77777777" w:rsidTr="00B76BF4">
        <w:tc>
          <w:tcPr>
            <w:tcW w:w="887" w:type="pct"/>
            <w:tcBorders>
              <w:top w:val="single" w:sz="4" w:space="0" w:color="auto"/>
              <w:left w:val="single" w:sz="4" w:space="0" w:color="auto"/>
              <w:bottom w:val="single" w:sz="4" w:space="0" w:color="auto"/>
              <w:right w:val="single" w:sz="4" w:space="0" w:color="auto"/>
            </w:tcBorders>
          </w:tcPr>
          <w:p w14:paraId="387F2895"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07/04/2020</w:t>
            </w:r>
          </w:p>
        </w:tc>
        <w:tc>
          <w:tcPr>
            <w:tcW w:w="4113" w:type="pct"/>
            <w:tcBorders>
              <w:top w:val="single" w:sz="4" w:space="0" w:color="auto"/>
              <w:left w:val="single" w:sz="4" w:space="0" w:color="auto"/>
              <w:bottom w:val="single" w:sz="4" w:space="0" w:color="auto"/>
              <w:right w:val="single" w:sz="4" w:space="0" w:color="auto"/>
            </w:tcBorders>
          </w:tcPr>
          <w:p w14:paraId="0144A184"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SAFA Amendment 4 is applied to Articles A-1 and A-2, after SAFA Parties’ and MC approval. Pending NRA approval.</w:t>
            </w:r>
          </w:p>
        </w:tc>
      </w:tr>
      <w:tr w:rsidR="00F107B7" w:rsidRPr="00F107B7" w14:paraId="39D5C6A5" w14:textId="77777777" w:rsidTr="00B76BF4">
        <w:tc>
          <w:tcPr>
            <w:tcW w:w="887" w:type="pct"/>
            <w:tcBorders>
              <w:top w:val="single" w:sz="4" w:space="0" w:color="auto"/>
              <w:left w:val="single" w:sz="4" w:space="0" w:color="auto"/>
              <w:bottom w:val="single" w:sz="4" w:space="0" w:color="auto"/>
              <w:right w:val="single" w:sz="4" w:space="0" w:color="auto"/>
            </w:tcBorders>
          </w:tcPr>
          <w:p w14:paraId="12109872"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16/02/2021</w:t>
            </w:r>
          </w:p>
        </w:tc>
        <w:tc>
          <w:tcPr>
            <w:tcW w:w="4113" w:type="pct"/>
            <w:tcBorders>
              <w:top w:val="single" w:sz="4" w:space="0" w:color="auto"/>
              <w:left w:val="single" w:sz="4" w:space="0" w:color="auto"/>
              <w:bottom w:val="single" w:sz="4" w:space="0" w:color="auto"/>
              <w:right w:val="single" w:sz="4" w:space="0" w:color="auto"/>
            </w:tcBorders>
          </w:tcPr>
          <w:p w14:paraId="21B50D8E"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Editorial modifications are applied to Introduction and Part A, after RG CE acknowledgment</w:t>
            </w:r>
          </w:p>
        </w:tc>
      </w:tr>
      <w:tr w:rsidR="00F107B7" w:rsidRPr="00F107B7" w14:paraId="4723F233" w14:textId="77777777" w:rsidTr="00B76BF4">
        <w:tc>
          <w:tcPr>
            <w:tcW w:w="887" w:type="pct"/>
            <w:tcBorders>
              <w:top w:val="single" w:sz="4" w:space="0" w:color="auto"/>
              <w:left w:val="single" w:sz="4" w:space="0" w:color="auto"/>
              <w:bottom w:val="single" w:sz="4" w:space="0" w:color="auto"/>
              <w:right w:val="single" w:sz="4" w:space="0" w:color="auto"/>
            </w:tcBorders>
          </w:tcPr>
          <w:p w14:paraId="59327B69"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16/04/2021</w:t>
            </w:r>
          </w:p>
        </w:tc>
        <w:tc>
          <w:tcPr>
            <w:tcW w:w="4113" w:type="pct"/>
            <w:tcBorders>
              <w:top w:val="single" w:sz="4" w:space="0" w:color="auto"/>
              <w:left w:val="single" w:sz="4" w:space="0" w:color="auto"/>
              <w:bottom w:val="single" w:sz="4" w:space="0" w:color="auto"/>
              <w:right w:val="single" w:sz="4" w:space="0" w:color="auto"/>
            </w:tcBorders>
          </w:tcPr>
          <w:p w14:paraId="00B55253"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SAFA Amendment 11 is applied to Part C, after SAFA Parties’ approval</w:t>
            </w:r>
          </w:p>
        </w:tc>
      </w:tr>
      <w:tr w:rsidR="00F107B7" w:rsidRPr="00F107B7" w14:paraId="7E209053" w14:textId="77777777" w:rsidTr="00B76BF4">
        <w:tc>
          <w:tcPr>
            <w:tcW w:w="887" w:type="pct"/>
            <w:tcBorders>
              <w:top w:val="single" w:sz="4" w:space="0" w:color="auto"/>
              <w:left w:val="single" w:sz="4" w:space="0" w:color="auto"/>
              <w:bottom w:val="single" w:sz="4" w:space="0" w:color="auto"/>
              <w:right w:val="single" w:sz="4" w:space="0" w:color="auto"/>
            </w:tcBorders>
          </w:tcPr>
          <w:p w14:paraId="490F6346"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26/07/2021</w:t>
            </w:r>
          </w:p>
        </w:tc>
        <w:tc>
          <w:tcPr>
            <w:tcW w:w="4113" w:type="pct"/>
            <w:tcBorders>
              <w:top w:val="single" w:sz="4" w:space="0" w:color="auto"/>
              <w:left w:val="single" w:sz="4" w:space="0" w:color="auto"/>
              <w:bottom w:val="single" w:sz="4" w:space="0" w:color="auto"/>
              <w:right w:val="single" w:sz="4" w:space="0" w:color="auto"/>
            </w:tcBorders>
          </w:tcPr>
          <w:p w14:paraId="6E604413"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Erratum : Incorrect references in Part C</w:t>
            </w:r>
          </w:p>
        </w:tc>
      </w:tr>
      <w:tr w:rsidR="00F107B7" w:rsidRPr="00F107B7" w14:paraId="36AF4180" w14:textId="77777777" w:rsidTr="00B76BF4">
        <w:tc>
          <w:tcPr>
            <w:tcW w:w="887" w:type="pct"/>
            <w:tcBorders>
              <w:top w:val="single" w:sz="4" w:space="0" w:color="auto"/>
              <w:left w:val="single" w:sz="4" w:space="0" w:color="auto"/>
              <w:bottom w:val="single" w:sz="4" w:space="0" w:color="auto"/>
              <w:right w:val="single" w:sz="4" w:space="0" w:color="auto"/>
            </w:tcBorders>
          </w:tcPr>
          <w:p w14:paraId="424DB112" w14:textId="77777777" w:rsidR="00F107B7" w:rsidRPr="00F107B7" w:rsidRDefault="00F107B7" w:rsidP="00F107B7">
            <w:pPr>
              <w:jc w:val="left"/>
              <w:rPr>
                <w:rFonts w:ascii="Calibri" w:eastAsia="Barlow Semi Condensed" w:hAnsi="Calibri" w:cs="Calibri"/>
                <w:i/>
                <w:iCs/>
                <w:lang w:val="en-US"/>
              </w:rPr>
            </w:pPr>
            <w:r w:rsidRPr="00F107B7">
              <w:rPr>
                <w:rFonts w:ascii="Calibri" w:eastAsia="Barlow Semi Condensed" w:hAnsi="Calibri" w:cs="Calibri"/>
              </w:rPr>
              <w:t>30/11/2021</w:t>
            </w:r>
          </w:p>
        </w:tc>
        <w:tc>
          <w:tcPr>
            <w:tcW w:w="4113" w:type="pct"/>
            <w:tcBorders>
              <w:top w:val="single" w:sz="4" w:space="0" w:color="auto"/>
              <w:left w:val="single" w:sz="4" w:space="0" w:color="auto"/>
              <w:bottom w:val="single" w:sz="4" w:space="0" w:color="auto"/>
              <w:right w:val="single" w:sz="4" w:space="0" w:color="auto"/>
            </w:tcBorders>
          </w:tcPr>
          <w:p w14:paraId="398ECF30"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SAFA Amendment</w:t>
            </w:r>
            <w:r w:rsidRPr="00F107B7">
              <w:rPr>
                <w:rFonts w:ascii="Calibri" w:eastAsia="Barlow Semi Condensed" w:hAnsi="Calibri" w:cs="Calibri"/>
                <w:color w:val="FF0000"/>
              </w:rPr>
              <w:t xml:space="preserve"> </w:t>
            </w:r>
            <w:r w:rsidRPr="00F107B7">
              <w:rPr>
                <w:rFonts w:ascii="Calibri" w:eastAsia="Barlow Semi Condensed" w:hAnsi="Calibri" w:cs="Calibri"/>
              </w:rPr>
              <w:t>17 is applied to Part C, after SAFA Parties’ approval</w:t>
            </w:r>
          </w:p>
        </w:tc>
      </w:tr>
      <w:tr w:rsidR="00F107B7" w:rsidRPr="00F107B7" w14:paraId="069763B6"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7C7095E7" w14:textId="77777777" w:rsidR="00F107B7" w:rsidRPr="00F107B7" w:rsidRDefault="00F107B7" w:rsidP="00F107B7">
            <w:pPr>
              <w:jc w:val="left"/>
              <w:rPr>
                <w:rFonts w:ascii="Calibri" w:eastAsia="Barlow Semi Condensed" w:hAnsi="Calibri" w:cs="Calibri"/>
              </w:rPr>
            </w:pPr>
            <w:r w:rsidRPr="00F107B7">
              <w:rPr>
                <w:rFonts w:ascii="Calibri" w:eastAsia="Barlow Semi Condensed" w:hAnsi="Calibri" w:cs="Calibri"/>
              </w:rPr>
              <w:t>15/02/2022</w:t>
            </w:r>
          </w:p>
        </w:tc>
        <w:tc>
          <w:tcPr>
            <w:tcW w:w="4113" w:type="pct"/>
            <w:tcBorders>
              <w:top w:val="single" w:sz="4" w:space="0" w:color="auto"/>
              <w:left w:val="single" w:sz="4" w:space="0" w:color="auto"/>
              <w:bottom w:val="single" w:sz="4" w:space="0" w:color="auto"/>
              <w:right w:val="single" w:sz="4" w:space="0" w:color="auto"/>
            </w:tcBorders>
            <w:hideMark/>
          </w:tcPr>
          <w:p w14:paraId="0633A6EC" w14:textId="77777777" w:rsidR="00F107B7" w:rsidRPr="00F107B7" w:rsidRDefault="00F107B7" w:rsidP="00F107B7">
            <w:pPr>
              <w:jc w:val="left"/>
              <w:rPr>
                <w:rFonts w:ascii="Calibri" w:eastAsia="Barlow Semi Condensed" w:hAnsi="Calibri" w:cs="Calibri"/>
              </w:rPr>
            </w:pPr>
            <w:r w:rsidRPr="00F107B7">
              <w:rPr>
                <w:rFonts w:ascii="Calibri" w:eastAsia="Barlow Semi Condensed" w:hAnsi="Calibri" w:cs="Calibri"/>
              </w:rPr>
              <w:t>Version history table added</w:t>
            </w:r>
          </w:p>
        </w:tc>
      </w:tr>
      <w:tr w:rsidR="000C5EE6" w:rsidRPr="00F107B7" w14:paraId="47C8C63A" w14:textId="77777777" w:rsidTr="00B76BF4">
        <w:tc>
          <w:tcPr>
            <w:tcW w:w="887" w:type="pct"/>
            <w:tcBorders>
              <w:top w:val="single" w:sz="4" w:space="0" w:color="auto"/>
              <w:left w:val="single" w:sz="4" w:space="0" w:color="auto"/>
              <w:bottom w:val="single" w:sz="4" w:space="0" w:color="auto"/>
              <w:right w:val="single" w:sz="4" w:space="0" w:color="auto"/>
            </w:tcBorders>
          </w:tcPr>
          <w:p w14:paraId="3A71388E" w14:textId="08DA88FA" w:rsidR="000C5EE6" w:rsidRPr="00F107B7" w:rsidRDefault="000C5EE6" w:rsidP="000C5EE6">
            <w:pPr>
              <w:jc w:val="left"/>
              <w:rPr>
                <w:rFonts w:ascii="Calibri" w:eastAsia="Barlow Semi Condensed" w:hAnsi="Calibri" w:cs="Calibri"/>
              </w:rPr>
            </w:pPr>
            <w:r>
              <w:rPr>
                <w:rFonts w:ascii="Calibri" w:eastAsia="Barlow Semi Condensed" w:hAnsi="Calibri" w:cs="Calibri"/>
              </w:rPr>
              <w:t>11/03/2022</w:t>
            </w:r>
          </w:p>
        </w:tc>
        <w:tc>
          <w:tcPr>
            <w:tcW w:w="4113" w:type="pct"/>
            <w:tcBorders>
              <w:top w:val="single" w:sz="4" w:space="0" w:color="auto"/>
              <w:left w:val="single" w:sz="4" w:space="0" w:color="auto"/>
              <w:bottom w:val="single" w:sz="4" w:space="0" w:color="auto"/>
              <w:right w:val="single" w:sz="4" w:space="0" w:color="auto"/>
            </w:tcBorders>
          </w:tcPr>
          <w:p w14:paraId="249373A8" w14:textId="7F80ACBC" w:rsidR="000C5EE6" w:rsidRPr="00F107B7" w:rsidRDefault="000C5EE6" w:rsidP="000C5EE6">
            <w:pPr>
              <w:jc w:val="left"/>
              <w:rPr>
                <w:rFonts w:ascii="Calibri" w:eastAsia="Barlow Semi Condensed" w:hAnsi="Calibri" w:cs="Calibri"/>
              </w:rPr>
            </w:pPr>
            <w:r w:rsidRPr="00F107B7">
              <w:rPr>
                <w:rFonts w:ascii="Calibri" w:eastAsia="Barlow Semi Condensed" w:hAnsi="Calibri" w:cs="Calibri"/>
              </w:rPr>
              <w:t xml:space="preserve">SAFA Amendment </w:t>
            </w:r>
            <w:r>
              <w:rPr>
                <w:rFonts w:ascii="Calibri" w:eastAsia="Barlow Semi Condensed" w:hAnsi="Calibri" w:cs="Calibri"/>
              </w:rPr>
              <w:t>2</w:t>
            </w:r>
            <w:r w:rsidRPr="00F107B7">
              <w:rPr>
                <w:rFonts w:ascii="Calibri" w:eastAsia="Barlow Semi Condensed" w:hAnsi="Calibri" w:cs="Calibri"/>
              </w:rPr>
              <w:t xml:space="preserve">1 is applied to Articles </w:t>
            </w:r>
            <w:r>
              <w:rPr>
                <w:rFonts w:ascii="Calibri" w:eastAsia="Barlow Semi Condensed" w:hAnsi="Calibri" w:cs="Calibri"/>
              </w:rPr>
              <w:t>C-6-2</w:t>
            </w:r>
            <w:r w:rsidRPr="00F107B7">
              <w:rPr>
                <w:rFonts w:ascii="Calibri" w:eastAsia="Barlow Semi Condensed" w:hAnsi="Calibri" w:cs="Calibri"/>
              </w:rPr>
              <w:t xml:space="preserve">-1 and </w:t>
            </w:r>
            <w:r>
              <w:rPr>
                <w:rFonts w:ascii="Calibri" w:eastAsia="Barlow Semi Condensed" w:hAnsi="Calibri" w:cs="Calibri"/>
              </w:rPr>
              <w:t>C</w:t>
            </w:r>
            <w:r w:rsidRPr="00F107B7">
              <w:rPr>
                <w:rFonts w:ascii="Calibri" w:eastAsia="Barlow Semi Condensed" w:hAnsi="Calibri" w:cs="Calibri"/>
              </w:rPr>
              <w:t>-</w:t>
            </w:r>
            <w:r>
              <w:rPr>
                <w:rFonts w:ascii="Calibri" w:eastAsia="Barlow Semi Condensed" w:hAnsi="Calibri" w:cs="Calibri"/>
              </w:rPr>
              <w:t>1</w:t>
            </w:r>
            <w:r w:rsidRPr="00F107B7">
              <w:rPr>
                <w:rFonts w:ascii="Calibri" w:eastAsia="Barlow Semi Condensed" w:hAnsi="Calibri" w:cs="Calibri"/>
              </w:rPr>
              <w:t>2</w:t>
            </w:r>
            <w:r>
              <w:rPr>
                <w:rFonts w:ascii="Calibri" w:eastAsia="Barlow Semi Condensed" w:hAnsi="Calibri" w:cs="Calibri"/>
              </w:rPr>
              <w:t>-4</w:t>
            </w:r>
            <w:r w:rsidRPr="00F107B7">
              <w:rPr>
                <w:rFonts w:ascii="Calibri" w:eastAsia="Barlow Semi Condensed" w:hAnsi="Calibri" w:cs="Calibri"/>
              </w:rPr>
              <w:t>, after SAFA Parties’ approval</w:t>
            </w:r>
          </w:p>
        </w:tc>
      </w:tr>
      <w:tr w:rsidR="000C5EE6" w:rsidRPr="00F107B7" w14:paraId="00E913E6" w14:textId="77777777" w:rsidTr="00B76BF4">
        <w:tc>
          <w:tcPr>
            <w:tcW w:w="887" w:type="pct"/>
            <w:tcBorders>
              <w:top w:val="single" w:sz="4" w:space="0" w:color="auto"/>
              <w:left w:val="single" w:sz="4" w:space="0" w:color="auto"/>
              <w:bottom w:val="single" w:sz="4" w:space="0" w:color="auto"/>
              <w:right w:val="single" w:sz="4" w:space="0" w:color="auto"/>
            </w:tcBorders>
          </w:tcPr>
          <w:p w14:paraId="78D8E487" w14:textId="77777777" w:rsidR="000C5EE6" w:rsidRPr="00F107B7" w:rsidRDefault="000C5EE6" w:rsidP="000C5EE6">
            <w:pPr>
              <w:jc w:val="left"/>
              <w:rPr>
                <w:rFonts w:ascii="Calibri" w:eastAsia="Barlow Semi Condensed" w:hAnsi="Calibri" w:cs="Calibri"/>
              </w:rPr>
            </w:pPr>
          </w:p>
        </w:tc>
        <w:tc>
          <w:tcPr>
            <w:tcW w:w="4113" w:type="pct"/>
            <w:tcBorders>
              <w:top w:val="single" w:sz="4" w:space="0" w:color="auto"/>
              <w:left w:val="single" w:sz="4" w:space="0" w:color="auto"/>
              <w:bottom w:val="single" w:sz="4" w:space="0" w:color="auto"/>
              <w:right w:val="single" w:sz="4" w:space="0" w:color="auto"/>
            </w:tcBorders>
          </w:tcPr>
          <w:p w14:paraId="33C3FDB7" w14:textId="77777777" w:rsidR="000C5EE6" w:rsidRPr="00F107B7" w:rsidRDefault="000C5EE6" w:rsidP="000C5EE6">
            <w:pPr>
              <w:jc w:val="left"/>
              <w:rPr>
                <w:rFonts w:ascii="Calibri" w:eastAsia="Barlow Semi Condensed" w:hAnsi="Calibri" w:cs="Calibri"/>
              </w:rPr>
            </w:pPr>
          </w:p>
        </w:tc>
      </w:tr>
    </w:tbl>
    <w:p w14:paraId="585016B9" w14:textId="77777777" w:rsidR="00F107B7" w:rsidRPr="00F107B7" w:rsidRDefault="00F107B7" w:rsidP="00C73E32">
      <w:pPr>
        <w:rPr>
          <w:b/>
          <w:bCs/>
        </w:rPr>
      </w:pPr>
    </w:p>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2AF6C3C6" w14:textId="77777777" w:rsidR="00266397" w:rsidRPr="00C87891" w:rsidRDefault="00266397">
          <w:pPr>
            <w:pStyle w:val="TOCHeading"/>
          </w:pPr>
          <w:r w:rsidRPr="00C87891">
            <w:t>Table of Contents</w:t>
          </w:r>
        </w:p>
        <w:p w14:paraId="6EB44CA0" w14:textId="13CCD961" w:rsidR="00D26D46" w:rsidRDefault="00F45947">
          <w:pPr>
            <w:pStyle w:val="TOC1"/>
            <w:rPr>
              <w:noProof/>
              <w:lang w:eastAsia="en-GB"/>
            </w:rPr>
          </w:pPr>
          <w:r w:rsidRPr="00C87891">
            <w:fldChar w:fldCharType="begin"/>
          </w:r>
          <w:r w:rsidR="00266397" w:rsidRPr="00C87891">
            <w:instrText xml:space="preserve"> TOC \o "1-3" \h \z \u </w:instrText>
          </w:r>
          <w:r w:rsidRPr="00C87891">
            <w:fldChar w:fldCharType="separate"/>
          </w:r>
          <w:hyperlink w:anchor="_Toc107495693" w:history="1">
            <w:r w:rsidR="00D26D46" w:rsidRPr="00924843">
              <w:rPr>
                <w:rStyle w:val="Hyperlink"/>
                <w:noProof/>
              </w:rPr>
              <w:t>Introduction</w:t>
            </w:r>
            <w:r w:rsidR="00D26D46">
              <w:rPr>
                <w:noProof/>
                <w:webHidden/>
              </w:rPr>
              <w:tab/>
            </w:r>
            <w:r w:rsidR="00D26D46">
              <w:rPr>
                <w:noProof/>
                <w:webHidden/>
              </w:rPr>
              <w:fldChar w:fldCharType="begin"/>
            </w:r>
            <w:r w:rsidR="00D26D46">
              <w:rPr>
                <w:noProof/>
                <w:webHidden/>
              </w:rPr>
              <w:instrText xml:space="preserve"> PAGEREF _Toc107495693 \h </w:instrText>
            </w:r>
            <w:r w:rsidR="00D26D46">
              <w:rPr>
                <w:noProof/>
                <w:webHidden/>
              </w:rPr>
            </w:r>
            <w:r w:rsidR="00D26D46">
              <w:rPr>
                <w:noProof/>
                <w:webHidden/>
              </w:rPr>
              <w:fldChar w:fldCharType="separate"/>
            </w:r>
            <w:r w:rsidR="00D26D46">
              <w:rPr>
                <w:noProof/>
                <w:webHidden/>
              </w:rPr>
              <w:t>5</w:t>
            </w:r>
            <w:r w:rsidR="00D26D46">
              <w:rPr>
                <w:noProof/>
                <w:webHidden/>
              </w:rPr>
              <w:fldChar w:fldCharType="end"/>
            </w:r>
          </w:hyperlink>
        </w:p>
        <w:p w14:paraId="15EC858C" w14:textId="68CCB41C" w:rsidR="00D26D46" w:rsidRDefault="00D26D46">
          <w:pPr>
            <w:pStyle w:val="TOC1"/>
            <w:rPr>
              <w:noProof/>
              <w:lang w:eastAsia="en-GB"/>
            </w:rPr>
          </w:pPr>
          <w:hyperlink w:anchor="_Toc107495694" w:history="1">
            <w:r w:rsidRPr="00924843">
              <w:rPr>
                <w:rStyle w:val="Hyperlink"/>
                <w:noProof/>
              </w:rPr>
              <w:t>A</w:t>
            </w:r>
            <w:r>
              <w:rPr>
                <w:noProof/>
                <w:lang w:eastAsia="en-GB"/>
              </w:rPr>
              <w:tab/>
            </w:r>
            <w:r w:rsidRPr="00924843">
              <w:rPr>
                <w:rStyle w:val="Hyperlink"/>
                <w:noProof/>
              </w:rPr>
              <w:t>Methodologies, conditions and values subject to all regulatory authorities approval</w:t>
            </w:r>
            <w:r>
              <w:rPr>
                <w:noProof/>
                <w:webHidden/>
              </w:rPr>
              <w:tab/>
            </w:r>
            <w:r>
              <w:rPr>
                <w:noProof/>
                <w:webHidden/>
              </w:rPr>
              <w:fldChar w:fldCharType="begin"/>
            </w:r>
            <w:r>
              <w:rPr>
                <w:noProof/>
                <w:webHidden/>
              </w:rPr>
              <w:instrText xml:space="preserve"> PAGEREF _Toc107495694 \h </w:instrText>
            </w:r>
            <w:r>
              <w:rPr>
                <w:noProof/>
                <w:webHidden/>
              </w:rPr>
            </w:r>
            <w:r>
              <w:rPr>
                <w:noProof/>
                <w:webHidden/>
              </w:rPr>
              <w:fldChar w:fldCharType="separate"/>
            </w:r>
            <w:r>
              <w:rPr>
                <w:noProof/>
                <w:webHidden/>
              </w:rPr>
              <w:t>6</w:t>
            </w:r>
            <w:r>
              <w:rPr>
                <w:noProof/>
                <w:webHidden/>
              </w:rPr>
              <w:fldChar w:fldCharType="end"/>
            </w:r>
          </w:hyperlink>
        </w:p>
        <w:p w14:paraId="2DCC033C" w14:textId="3E732CF7" w:rsidR="00D26D46" w:rsidRDefault="00D26D46">
          <w:pPr>
            <w:pStyle w:val="TOC2"/>
            <w:rPr>
              <w:noProof/>
              <w:lang w:eastAsia="en-GB"/>
            </w:rPr>
          </w:pPr>
          <w:hyperlink w:anchor="_Toc107495695" w:history="1">
            <w:r w:rsidRPr="00924843">
              <w:rPr>
                <w:rStyle w:val="Hyperlink"/>
                <w:noProof/>
                <w:lang w:eastAsia="de-DE"/>
              </w:rPr>
              <w:t>A-1</w:t>
            </w:r>
            <w:r>
              <w:rPr>
                <w:noProof/>
                <w:lang w:eastAsia="en-GB"/>
              </w:rPr>
              <w:tab/>
            </w:r>
            <w:r w:rsidRPr="00924843">
              <w:rPr>
                <w:rStyle w:val="Hyperlink"/>
                <w:noProof/>
                <w:lang w:eastAsia="de-DE"/>
              </w:rPr>
              <w:t>Common settlement rules applicable to intended exchanges of energy according to Article 50(3) EBGL (mandatory &amp; NRA approval)</w:t>
            </w:r>
            <w:r>
              <w:rPr>
                <w:noProof/>
                <w:webHidden/>
              </w:rPr>
              <w:tab/>
            </w:r>
            <w:r>
              <w:rPr>
                <w:noProof/>
                <w:webHidden/>
              </w:rPr>
              <w:fldChar w:fldCharType="begin"/>
            </w:r>
            <w:r>
              <w:rPr>
                <w:noProof/>
                <w:webHidden/>
              </w:rPr>
              <w:instrText xml:space="preserve"> PAGEREF _Toc107495695 \h </w:instrText>
            </w:r>
            <w:r>
              <w:rPr>
                <w:noProof/>
                <w:webHidden/>
              </w:rPr>
            </w:r>
            <w:r>
              <w:rPr>
                <w:noProof/>
                <w:webHidden/>
              </w:rPr>
              <w:fldChar w:fldCharType="separate"/>
            </w:r>
            <w:r>
              <w:rPr>
                <w:noProof/>
                <w:webHidden/>
              </w:rPr>
              <w:t>6</w:t>
            </w:r>
            <w:r>
              <w:rPr>
                <w:noProof/>
                <w:webHidden/>
              </w:rPr>
              <w:fldChar w:fldCharType="end"/>
            </w:r>
          </w:hyperlink>
        </w:p>
        <w:p w14:paraId="06A4D131" w14:textId="2CCB5C20" w:rsidR="00D26D46" w:rsidRDefault="00D26D46">
          <w:pPr>
            <w:pStyle w:val="TOC2"/>
            <w:rPr>
              <w:noProof/>
              <w:lang w:eastAsia="en-GB"/>
            </w:rPr>
          </w:pPr>
          <w:hyperlink w:anchor="_Toc107495696" w:history="1">
            <w:r w:rsidRPr="00924843">
              <w:rPr>
                <w:rStyle w:val="Hyperlink"/>
                <w:noProof/>
                <w:lang w:eastAsia="de-DE"/>
              </w:rPr>
              <w:t>A-2</w:t>
            </w:r>
            <w:r>
              <w:rPr>
                <w:noProof/>
                <w:lang w:eastAsia="en-GB"/>
              </w:rPr>
              <w:tab/>
            </w:r>
            <w:r w:rsidRPr="00924843">
              <w:rPr>
                <w:rStyle w:val="Hyperlink"/>
                <w:noProof/>
                <w:lang w:eastAsia="de-DE"/>
              </w:rPr>
              <w:t>Common settlement rules applicable to all unintended exchanges of energy according to Article 51(1) EBGL (mandatory &amp; NRA approval)</w:t>
            </w:r>
            <w:r>
              <w:rPr>
                <w:noProof/>
                <w:webHidden/>
              </w:rPr>
              <w:tab/>
            </w:r>
            <w:r>
              <w:rPr>
                <w:noProof/>
                <w:webHidden/>
              </w:rPr>
              <w:fldChar w:fldCharType="begin"/>
            </w:r>
            <w:r>
              <w:rPr>
                <w:noProof/>
                <w:webHidden/>
              </w:rPr>
              <w:instrText xml:space="preserve"> PAGEREF _Toc107495696 \h </w:instrText>
            </w:r>
            <w:r>
              <w:rPr>
                <w:noProof/>
                <w:webHidden/>
              </w:rPr>
            </w:r>
            <w:r>
              <w:rPr>
                <w:noProof/>
                <w:webHidden/>
              </w:rPr>
              <w:fldChar w:fldCharType="separate"/>
            </w:r>
            <w:r>
              <w:rPr>
                <w:noProof/>
                <w:webHidden/>
              </w:rPr>
              <w:t>6</w:t>
            </w:r>
            <w:r>
              <w:rPr>
                <w:noProof/>
                <w:webHidden/>
              </w:rPr>
              <w:fldChar w:fldCharType="end"/>
            </w:r>
          </w:hyperlink>
        </w:p>
        <w:p w14:paraId="7BFA07B5" w14:textId="43B3896E" w:rsidR="00D26D46" w:rsidRDefault="00D26D46">
          <w:pPr>
            <w:pStyle w:val="TOC1"/>
            <w:rPr>
              <w:noProof/>
              <w:lang w:eastAsia="en-GB"/>
            </w:rPr>
          </w:pPr>
          <w:hyperlink w:anchor="_Toc107495697" w:history="1">
            <w:r w:rsidRPr="00924843">
              <w:rPr>
                <w:rStyle w:val="Hyperlink"/>
                <w:noProof/>
              </w:rPr>
              <w:t>B</w:t>
            </w:r>
            <w:r>
              <w:rPr>
                <w:noProof/>
                <w:lang w:eastAsia="en-GB"/>
              </w:rPr>
              <w:tab/>
            </w:r>
            <w:r w:rsidRPr="00924843">
              <w:rPr>
                <w:rStyle w:val="Hyperlink"/>
                <w:noProof/>
              </w:rPr>
              <w:t>Methodologies, conditions and values subject to approval by all TSOs</w:t>
            </w:r>
            <w:r>
              <w:rPr>
                <w:noProof/>
                <w:webHidden/>
              </w:rPr>
              <w:tab/>
            </w:r>
            <w:r>
              <w:rPr>
                <w:noProof/>
                <w:webHidden/>
              </w:rPr>
              <w:fldChar w:fldCharType="begin"/>
            </w:r>
            <w:r>
              <w:rPr>
                <w:noProof/>
                <w:webHidden/>
              </w:rPr>
              <w:instrText xml:space="preserve"> PAGEREF _Toc107495697 \h </w:instrText>
            </w:r>
            <w:r>
              <w:rPr>
                <w:noProof/>
                <w:webHidden/>
              </w:rPr>
            </w:r>
            <w:r>
              <w:rPr>
                <w:noProof/>
                <w:webHidden/>
              </w:rPr>
              <w:fldChar w:fldCharType="separate"/>
            </w:r>
            <w:r>
              <w:rPr>
                <w:noProof/>
                <w:webHidden/>
              </w:rPr>
              <w:t>7</w:t>
            </w:r>
            <w:r>
              <w:rPr>
                <w:noProof/>
                <w:webHidden/>
              </w:rPr>
              <w:fldChar w:fldCharType="end"/>
            </w:r>
          </w:hyperlink>
        </w:p>
        <w:p w14:paraId="4206B2D3" w14:textId="760E7F2E" w:rsidR="00D26D46" w:rsidRDefault="00D26D46">
          <w:pPr>
            <w:pStyle w:val="TOC1"/>
            <w:rPr>
              <w:noProof/>
              <w:lang w:eastAsia="en-GB"/>
            </w:rPr>
          </w:pPr>
          <w:hyperlink w:anchor="_Toc107495698" w:history="1">
            <w:r w:rsidRPr="00924843">
              <w:rPr>
                <w:rStyle w:val="Hyperlink"/>
                <w:noProof/>
              </w:rPr>
              <w:t>C</w:t>
            </w:r>
            <w:r>
              <w:rPr>
                <w:noProof/>
                <w:lang w:eastAsia="en-GB"/>
              </w:rPr>
              <w:tab/>
            </w:r>
            <w:r w:rsidRPr="00924843">
              <w:rPr>
                <w:rStyle w:val="Hyperlink"/>
                <w:noProof/>
              </w:rPr>
              <w:t>Methodologies, conditions and values agreed among the members of RGCE</w:t>
            </w:r>
            <w:r>
              <w:rPr>
                <w:noProof/>
                <w:webHidden/>
              </w:rPr>
              <w:tab/>
            </w:r>
            <w:r>
              <w:rPr>
                <w:noProof/>
                <w:webHidden/>
              </w:rPr>
              <w:fldChar w:fldCharType="begin"/>
            </w:r>
            <w:r>
              <w:rPr>
                <w:noProof/>
                <w:webHidden/>
              </w:rPr>
              <w:instrText xml:space="preserve"> PAGEREF _Toc107495698 \h </w:instrText>
            </w:r>
            <w:r>
              <w:rPr>
                <w:noProof/>
                <w:webHidden/>
              </w:rPr>
            </w:r>
            <w:r>
              <w:rPr>
                <w:noProof/>
                <w:webHidden/>
              </w:rPr>
              <w:fldChar w:fldCharType="separate"/>
            </w:r>
            <w:r>
              <w:rPr>
                <w:noProof/>
                <w:webHidden/>
              </w:rPr>
              <w:t>8</w:t>
            </w:r>
            <w:r>
              <w:rPr>
                <w:noProof/>
                <w:webHidden/>
              </w:rPr>
              <w:fldChar w:fldCharType="end"/>
            </w:r>
          </w:hyperlink>
        </w:p>
        <w:p w14:paraId="16071D19" w14:textId="565E6256" w:rsidR="00D26D46" w:rsidRDefault="00D26D46">
          <w:pPr>
            <w:pStyle w:val="TOC2"/>
            <w:rPr>
              <w:noProof/>
              <w:lang w:eastAsia="en-GB"/>
            </w:rPr>
          </w:pPr>
          <w:hyperlink w:anchor="_Toc107495699" w:history="1">
            <w:r w:rsidRPr="00924843">
              <w:rPr>
                <w:rStyle w:val="Hyperlink"/>
                <w:noProof/>
              </w:rPr>
              <w:t>C-1</w:t>
            </w:r>
            <w:r>
              <w:rPr>
                <w:noProof/>
                <w:lang w:eastAsia="en-GB"/>
              </w:rPr>
              <w:tab/>
            </w:r>
            <w:r w:rsidRPr="00924843">
              <w:rPr>
                <w:rStyle w:val="Hyperlink"/>
                <w:noProof/>
              </w:rPr>
              <w:t>Definitions</w:t>
            </w:r>
            <w:r>
              <w:rPr>
                <w:noProof/>
                <w:webHidden/>
              </w:rPr>
              <w:tab/>
            </w:r>
            <w:r>
              <w:rPr>
                <w:noProof/>
                <w:webHidden/>
              </w:rPr>
              <w:fldChar w:fldCharType="begin"/>
            </w:r>
            <w:r>
              <w:rPr>
                <w:noProof/>
                <w:webHidden/>
              </w:rPr>
              <w:instrText xml:space="preserve"> PAGEREF _Toc107495699 \h </w:instrText>
            </w:r>
            <w:r>
              <w:rPr>
                <w:noProof/>
                <w:webHidden/>
              </w:rPr>
            </w:r>
            <w:r>
              <w:rPr>
                <w:noProof/>
                <w:webHidden/>
              </w:rPr>
              <w:fldChar w:fldCharType="separate"/>
            </w:r>
            <w:r>
              <w:rPr>
                <w:noProof/>
                <w:webHidden/>
              </w:rPr>
              <w:t>8</w:t>
            </w:r>
            <w:r>
              <w:rPr>
                <w:noProof/>
                <w:webHidden/>
              </w:rPr>
              <w:fldChar w:fldCharType="end"/>
            </w:r>
          </w:hyperlink>
        </w:p>
        <w:p w14:paraId="29F416C2" w14:textId="17A29C38" w:rsidR="00D26D46" w:rsidRDefault="00D26D46">
          <w:pPr>
            <w:pStyle w:val="TOC3"/>
            <w:tabs>
              <w:tab w:val="left" w:pos="1320"/>
              <w:tab w:val="right" w:leader="dot" w:pos="9062"/>
            </w:tabs>
            <w:rPr>
              <w:noProof/>
              <w:lang w:eastAsia="en-GB"/>
            </w:rPr>
          </w:pPr>
          <w:hyperlink w:anchor="_Toc107495700" w:history="1">
            <w:r w:rsidRPr="00924843">
              <w:rPr>
                <w:rStyle w:val="Hyperlink"/>
                <w:noProof/>
              </w:rPr>
              <w:t>C-1-1</w:t>
            </w:r>
            <w:r>
              <w:rPr>
                <w:noProof/>
                <w:lang w:eastAsia="en-GB"/>
              </w:rPr>
              <w:tab/>
            </w:r>
            <w:r w:rsidRPr="00924843">
              <w:rPr>
                <w:rStyle w:val="Hyperlink"/>
                <w:noProof/>
              </w:rPr>
              <w:t>Accounting process</w:t>
            </w:r>
            <w:r>
              <w:rPr>
                <w:noProof/>
                <w:webHidden/>
              </w:rPr>
              <w:tab/>
            </w:r>
            <w:r>
              <w:rPr>
                <w:noProof/>
                <w:webHidden/>
              </w:rPr>
              <w:fldChar w:fldCharType="begin"/>
            </w:r>
            <w:r>
              <w:rPr>
                <w:noProof/>
                <w:webHidden/>
              </w:rPr>
              <w:instrText xml:space="preserve"> PAGEREF _Toc107495700 \h </w:instrText>
            </w:r>
            <w:r>
              <w:rPr>
                <w:noProof/>
                <w:webHidden/>
              </w:rPr>
            </w:r>
            <w:r>
              <w:rPr>
                <w:noProof/>
                <w:webHidden/>
              </w:rPr>
              <w:fldChar w:fldCharType="separate"/>
            </w:r>
            <w:r>
              <w:rPr>
                <w:noProof/>
                <w:webHidden/>
              </w:rPr>
              <w:t>8</w:t>
            </w:r>
            <w:r>
              <w:rPr>
                <w:noProof/>
                <w:webHidden/>
              </w:rPr>
              <w:fldChar w:fldCharType="end"/>
            </w:r>
          </w:hyperlink>
        </w:p>
        <w:p w14:paraId="1419DFAE" w14:textId="7A56D783" w:rsidR="00D26D46" w:rsidRDefault="00D26D46">
          <w:pPr>
            <w:pStyle w:val="TOC3"/>
            <w:tabs>
              <w:tab w:val="left" w:pos="1320"/>
              <w:tab w:val="right" w:leader="dot" w:pos="9062"/>
            </w:tabs>
            <w:rPr>
              <w:noProof/>
              <w:lang w:eastAsia="en-GB"/>
            </w:rPr>
          </w:pPr>
          <w:hyperlink w:anchor="_Toc107495701" w:history="1">
            <w:r w:rsidRPr="00924843">
              <w:rPr>
                <w:rStyle w:val="Hyperlink"/>
                <w:noProof/>
              </w:rPr>
              <w:t>C-1-2</w:t>
            </w:r>
            <w:r>
              <w:rPr>
                <w:noProof/>
                <w:lang w:eastAsia="en-GB"/>
              </w:rPr>
              <w:tab/>
            </w:r>
            <w:r w:rsidRPr="00924843">
              <w:rPr>
                <w:rStyle w:val="Hyperlink"/>
                <w:noProof/>
              </w:rPr>
              <w:t>Settlement process</w:t>
            </w:r>
            <w:r>
              <w:rPr>
                <w:noProof/>
                <w:webHidden/>
              </w:rPr>
              <w:tab/>
            </w:r>
            <w:r>
              <w:rPr>
                <w:noProof/>
                <w:webHidden/>
              </w:rPr>
              <w:fldChar w:fldCharType="begin"/>
            </w:r>
            <w:r>
              <w:rPr>
                <w:noProof/>
                <w:webHidden/>
              </w:rPr>
              <w:instrText xml:space="preserve"> PAGEREF _Toc107495701 \h </w:instrText>
            </w:r>
            <w:r>
              <w:rPr>
                <w:noProof/>
                <w:webHidden/>
              </w:rPr>
            </w:r>
            <w:r>
              <w:rPr>
                <w:noProof/>
                <w:webHidden/>
              </w:rPr>
              <w:fldChar w:fldCharType="separate"/>
            </w:r>
            <w:r>
              <w:rPr>
                <w:noProof/>
                <w:webHidden/>
              </w:rPr>
              <w:t>8</w:t>
            </w:r>
            <w:r>
              <w:rPr>
                <w:noProof/>
                <w:webHidden/>
              </w:rPr>
              <w:fldChar w:fldCharType="end"/>
            </w:r>
          </w:hyperlink>
        </w:p>
        <w:p w14:paraId="3FA6C976" w14:textId="102B10DA" w:rsidR="00D26D46" w:rsidRDefault="00D26D46">
          <w:pPr>
            <w:pStyle w:val="TOC3"/>
            <w:tabs>
              <w:tab w:val="left" w:pos="1320"/>
              <w:tab w:val="right" w:leader="dot" w:pos="9062"/>
            </w:tabs>
            <w:rPr>
              <w:noProof/>
              <w:lang w:eastAsia="en-GB"/>
            </w:rPr>
          </w:pPr>
          <w:hyperlink w:anchor="_Toc107495702" w:history="1">
            <w:r w:rsidRPr="00924843">
              <w:rPr>
                <w:rStyle w:val="Hyperlink"/>
                <w:noProof/>
              </w:rPr>
              <w:t>C-1-3</w:t>
            </w:r>
            <w:r>
              <w:rPr>
                <w:noProof/>
                <w:lang w:eastAsia="en-GB"/>
              </w:rPr>
              <w:tab/>
            </w:r>
            <w:r w:rsidRPr="00924843">
              <w:rPr>
                <w:rStyle w:val="Hyperlink"/>
                <w:noProof/>
              </w:rPr>
              <w:t>Cross-border Energy Exchanges</w:t>
            </w:r>
            <w:r>
              <w:rPr>
                <w:noProof/>
                <w:webHidden/>
              </w:rPr>
              <w:tab/>
            </w:r>
            <w:r>
              <w:rPr>
                <w:noProof/>
                <w:webHidden/>
              </w:rPr>
              <w:fldChar w:fldCharType="begin"/>
            </w:r>
            <w:r>
              <w:rPr>
                <w:noProof/>
                <w:webHidden/>
              </w:rPr>
              <w:instrText xml:space="preserve"> PAGEREF _Toc107495702 \h </w:instrText>
            </w:r>
            <w:r>
              <w:rPr>
                <w:noProof/>
                <w:webHidden/>
              </w:rPr>
            </w:r>
            <w:r>
              <w:rPr>
                <w:noProof/>
                <w:webHidden/>
              </w:rPr>
              <w:fldChar w:fldCharType="separate"/>
            </w:r>
            <w:r>
              <w:rPr>
                <w:noProof/>
                <w:webHidden/>
              </w:rPr>
              <w:t>8</w:t>
            </w:r>
            <w:r>
              <w:rPr>
                <w:noProof/>
                <w:webHidden/>
              </w:rPr>
              <w:fldChar w:fldCharType="end"/>
            </w:r>
          </w:hyperlink>
        </w:p>
        <w:p w14:paraId="7C8B96FE" w14:textId="236013C4" w:rsidR="00D26D46" w:rsidRDefault="00D26D46">
          <w:pPr>
            <w:pStyle w:val="TOC3"/>
            <w:tabs>
              <w:tab w:val="left" w:pos="1320"/>
              <w:tab w:val="right" w:leader="dot" w:pos="9062"/>
            </w:tabs>
            <w:rPr>
              <w:noProof/>
              <w:lang w:eastAsia="en-GB"/>
            </w:rPr>
          </w:pPr>
          <w:hyperlink w:anchor="_Toc107495703" w:history="1">
            <w:r w:rsidRPr="00924843">
              <w:rPr>
                <w:rStyle w:val="Hyperlink"/>
                <w:noProof/>
              </w:rPr>
              <w:t>C-1-4</w:t>
            </w:r>
            <w:r>
              <w:rPr>
                <w:noProof/>
                <w:lang w:eastAsia="en-GB"/>
              </w:rPr>
              <w:tab/>
            </w:r>
            <w:r w:rsidRPr="00924843">
              <w:rPr>
                <w:rStyle w:val="Hyperlink"/>
                <w:noProof/>
              </w:rPr>
              <w:t>Meter Measurement Data</w:t>
            </w:r>
            <w:r>
              <w:rPr>
                <w:noProof/>
                <w:webHidden/>
              </w:rPr>
              <w:tab/>
            </w:r>
            <w:r>
              <w:rPr>
                <w:noProof/>
                <w:webHidden/>
              </w:rPr>
              <w:fldChar w:fldCharType="begin"/>
            </w:r>
            <w:r>
              <w:rPr>
                <w:noProof/>
                <w:webHidden/>
              </w:rPr>
              <w:instrText xml:space="preserve"> PAGEREF _Toc107495703 \h </w:instrText>
            </w:r>
            <w:r>
              <w:rPr>
                <w:noProof/>
                <w:webHidden/>
              </w:rPr>
            </w:r>
            <w:r>
              <w:rPr>
                <w:noProof/>
                <w:webHidden/>
              </w:rPr>
              <w:fldChar w:fldCharType="separate"/>
            </w:r>
            <w:r>
              <w:rPr>
                <w:noProof/>
                <w:webHidden/>
              </w:rPr>
              <w:t>9</w:t>
            </w:r>
            <w:r>
              <w:rPr>
                <w:noProof/>
                <w:webHidden/>
              </w:rPr>
              <w:fldChar w:fldCharType="end"/>
            </w:r>
          </w:hyperlink>
        </w:p>
        <w:p w14:paraId="122C9A64" w14:textId="7ABBFC1E" w:rsidR="00D26D46" w:rsidRDefault="00D26D46">
          <w:pPr>
            <w:pStyle w:val="TOC3"/>
            <w:tabs>
              <w:tab w:val="left" w:pos="1320"/>
              <w:tab w:val="right" w:leader="dot" w:pos="9062"/>
            </w:tabs>
            <w:rPr>
              <w:noProof/>
              <w:lang w:eastAsia="en-GB"/>
            </w:rPr>
          </w:pPr>
          <w:hyperlink w:anchor="_Toc107495704" w:history="1">
            <w:r w:rsidRPr="00924843">
              <w:rPr>
                <w:rStyle w:val="Hyperlink"/>
                <w:noProof/>
              </w:rPr>
              <w:t>C-1-5</w:t>
            </w:r>
            <w:r>
              <w:rPr>
                <w:noProof/>
                <w:lang w:eastAsia="en-GB"/>
              </w:rPr>
              <w:tab/>
            </w:r>
            <w:r w:rsidRPr="00924843">
              <w:rPr>
                <w:rStyle w:val="Hyperlink"/>
                <w:noProof/>
              </w:rPr>
              <w:t>Accounting Point</w:t>
            </w:r>
            <w:r>
              <w:rPr>
                <w:noProof/>
                <w:webHidden/>
              </w:rPr>
              <w:tab/>
            </w:r>
            <w:r>
              <w:rPr>
                <w:noProof/>
                <w:webHidden/>
              </w:rPr>
              <w:fldChar w:fldCharType="begin"/>
            </w:r>
            <w:r>
              <w:rPr>
                <w:noProof/>
                <w:webHidden/>
              </w:rPr>
              <w:instrText xml:space="preserve"> PAGEREF _Toc107495704 \h </w:instrText>
            </w:r>
            <w:r>
              <w:rPr>
                <w:noProof/>
                <w:webHidden/>
              </w:rPr>
            </w:r>
            <w:r>
              <w:rPr>
                <w:noProof/>
                <w:webHidden/>
              </w:rPr>
              <w:fldChar w:fldCharType="separate"/>
            </w:r>
            <w:r>
              <w:rPr>
                <w:noProof/>
                <w:webHidden/>
              </w:rPr>
              <w:t>9</w:t>
            </w:r>
            <w:r>
              <w:rPr>
                <w:noProof/>
                <w:webHidden/>
              </w:rPr>
              <w:fldChar w:fldCharType="end"/>
            </w:r>
          </w:hyperlink>
        </w:p>
        <w:p w14:paraId="542BBB94" w14:textId="174D706F" w:rsidR="00D26D46" w:rsidRDefault="00D26D46">
          <w:pPr>
            <w:pStyle w:val="TOC3"/>
            <w:tabs>
              <w:tab w:val="left" w:pos="1320"/>
              <w:tab w:val="right" w:leader="dot" w:pos="9062"/>
            </w:tabs>
            <w:rPr>
              <w:noProof/>
              <w:lang w:eastAsia="en-GB"/>
            </w:rPr>
          </w:pPr>
          <w:hyperlink w:anchor="_Toc107495705" w:history="1">
            <w:r w:rsidRPr="00924843">
              <w:rPr>
                <w:rStyle w:val="Hyperlink"/>
                <w:noProof/>
              </w:rPr>
              <w:t>C-1-6</w:t>
            </w:r>
            <w:r>
              <w:rPr>
                <w:noProof/>
                <w:lang w:eastAsia="en-GB"/>
              </w:rPr>
              <w:tab/>
            </w:r>
            <w:r w:rsidRPr="00924843">
              <w:rPr>
                <w:rStyle w:val="Hyperlink"/>
                <w:noProof/>
              </w:rPr>
              <w:t>Accounting Data</w:t>
            </w:r>
            <w:r>
              <w:rPr>
                <w:noProof/>
                <w:webHidden/>
              </w:rPr>
              <w:tab/>
            </w:r>
            <w:r>
              <w:rPr>
                <w:noProof/>
                <w:webHidden/>
              </w:rPr>
              <w:fldChar w:fldCharType="begin"/>
            </w:r>
            <w:r>
              <w:rPr>
                <w:noProof/>
                <w:webHidden/>
              </w:rPr>
              <w:instrText xml:space="preserve"> PAGEREF _Toc107495705 \h </w:instrText>
            </w:r>
            <w:r>
              <w:rPr>
                <w:noProof/>
                <w:webHidden/>
              </w:rPr>
            </w:r>
            <w:r>
              <w:rPr>
                <w:noProof/>
                <w:webHidden/>
              </w:rPr>
              <w:fldChar w:fldCharType="separate"/>
            </w:r>
            <w:r>
              <w:rPr>
                <w:noProof/>
                <w:webHidden/>
              </w:rPr>
              <w:t>10</w:t>
            </w:r>
            <w:r>
              <w:rPr>
                <w:noProof/>
                <w:webHidden/>
              </w:rPr>
              <w:fldChar w:fldCharType="end"/>
            </w:r>
          </w:hyperlink>
        </w:p>
        <w:p w14:paraId="2CC80105" w14:textId="1A20241B" w:rsidR="00D26D46" w:rsidRDefault="00D26D46">
          <w:pPr>
            <w:pStyle w:val="TOC3"/>
            <w:tabs>
              <w:tab w:val="left" w:pos="1320"/>
              <w:tab w:val="right" w:leader="dot" w:pos="9062"/>
            </w:tabs>
            <w:rPr>
              <w:noProof/>
              <w:lang w:eastAsia="en-GB"/>
            </w:rPr>
          </w:pPr>
          <w:hyperlink w:anchor="_Toc107495706" w:history="1">
            <w:r w:rsidRPr="00924843">
              <w:rPr>
                <w:rStyle w:val="Hyperlink"/>
                <w:noProof/>
              </w:rPr>
              <w:t>C-1-7</w:t>
            </w:r>
            <w:r>
              <w:rPr>
                <w:noProof/>
                <w:lang w:eastAsia="en-GB"/>
              </w:rPr>
              <w:tab/>
            </w:r>
            <w:r w:rsidRPr="00924843">
              <w:rPr>
                <w:rStyle w:val="Hyperlink"/>
                <w:noProof/>
              </w:rPr>
              <w:t>Working day</w:t>
            </w:r>
            <w:r>
              <w:rPr>
                <w:noProof/>
                <w:webHidden/>
              </w:rPr>
              <w:tab/>
            </w:r>
            <w:r>
              <w:rPr>
                <w:noProof/>
                <w:webHidden/>
              </w:rPr>
              <w:fldChar w:fldCharType="begin"/>
            </w:r>
            <w:r>
              <w:rPr>
                <w:noProof/>
                <w:webHidden/>
              </w:rPr>
              <w:instrText xml:space="preserve"> PAGEREF _Toc107495706 \h </w:instrText>
            </w:r>
            <w:r>
              <w:rPr>
                <w:noProof/>
                <w:webHidden/>
              </w:rPr>
            </w:r>
            <w:r>
              <w:rPr>
                <w:noProof/>
                <w:webHidden/>
              </w:rPr>
              <w:fldChar w:fldCharType="separate"/>
            </w:r>
            <w:r>
              <w:rPr>
                <w:noProof/>
                <w:webHidden/>
              </w:rPr>
              <w:t>10</w:t>
            </w:r>
            <w:r>
              <w:rPr>
                <w:noProof/>
                <w:webHidden/>
              </w:rPr>
              <w:fldChar w:fldCharType="end"/>
            </w:r>
          </w:hyperlink>
        </w:p>
        <w:p w14:paraId="0FDBF802" w14:textId="08B73902" w:rsidR="00D26D46" w:rsidRDefault="00D26D46">
          <w:pPr>
            <w:pStyle w:val="TOC3"/>
            <w:tabs>
              <w:tab w:val="left" w:pos="1320"/>
              <w:tab w:val="right" w:leader="dot" w:pos="9062"/>
            </w:tabs>
            <w:rPr>
              <w:noProof/>
              <w:lang w:eastAsia="en-GB"/>
            </w:rPr>
          </w:pPr>
          <w:hyperlink w:anchor="_Toc107495707" w:history="1">
            <w:r w:rsidRPr="00924843">
              <w:rPr>
                <w:rStyle w:val="Hyperlink"/>
                <w:noProof/>
              </w:rPr>
              <w:t>C-1-8</w:t>
            </w:r>
            <w:r>
              <w:rPr>
                <w:noProof/>
                <w:lang w:eastAsia="en-GB"/>
              </w:rPr>
              <w:tab/>
            </w:r>
            <w:r w:rsidRPr="00924843">
              <w:rPr>
                <w:rStyle w:val="Hyperlink"/>
                <w:noProof/>
              </w:rPr>
              <w:t>Financial settlement</w:t>
            </w:r>
            <w:r>
              <w:rPr>
                <w:noProof/>
                <w:webHidden/>
              </w:rPr>
              <w:tab/>
            </w:r>
            <w:r>
              <w:rPr>
                <w:noProof/>
                <w:webHidden/>
              </w:rPr>
              <w:fldChar w:fldCharType="begin"/>
            </w:r>
            <w:r>
              <w:rPr>
                <w:noProof/>
                <w:webHidden/>
              </w:rPr>
              <w:instrText xml:space="preserve"> PAGEREF _Toc107495707 \h </w:instrText>
            </w:r>
            <w:r>
              <w:rPr>
                <w:noProof/>
                <w:webHidden/>
              </w:rPr>
            </w:r>
            <w:r>
              <w:rPr>
                <w:noProof/>
                <w:webHidden/>
              </w:rPr>
              <w:fldChar w:fldCharType="separate"/>
            </w:r>
            <w:r>
              <w:rPr>
                <w:noProof/>
                <w:webHidden/>
              </w:rPr>
              <w:t>10</w:t>
            </w:r>
            <w:r>
              <w:rPr>
                <w:noProof/>
                <w:webHidden/>
              </w:rPr>
              <w:fldChar w:fldCharType="end"/>
            </w:r>
          </w:hyperlink>
        </w:p>
        <w:p w14:paraId="04C61A61" w14:textId="40A2D119" w:rsidR="00D26D46" w:rsidRDefault="00D26D46">
          <w:pPr>
            <w:pStyle w:val="TOC3"/>
            <w:tabs>
              <w:tab w:val="left" w:pos="1320"/>
              <w:tab w:val="right" w:leader="dot" w:pos="9062"/>
            </w:tabs>
            <w:rPr>
              <w:noProof/>
              <w:lang w:eastAsia="en-GB"/>
            </w:rPr>
          </w:pPr>
          <w:hyperlink w:anchor="_Toc107495708" w:history="1">
            <w:r w:rsidRPr="00924843">
              <w:rPr>
                <w:rStyle w:val="Hyperlink"/>
                <w:noProof/>
              </w:rPr>
              <w:t>C-1-9</w:t>
            </w:r>
            <w:r>
              <w:rPr>
                <w:noProof/>
                <w:lang w:eastAsia="en-GB"/>
              </w:rPr>
              <w:tab/>
            </w:r>
            <w:r w:rsidRPr="00924843">
              <w:rPr>
                <w:rStyle w:val="Hyperlink"/>
                <w:noProof/>
              </w:rPr>
              <w:t>TSO-TSO Settlement Period</w:t>
            </w:r>
            <w:r>
              <w:rPr>
                <w:noProof/>
                <w:webHidden/>
              </w:rPr>
              <w:tab/>
            </w:r>
            <w:r>
              <w:rPr>
                <w:noProof/>
                <w:webHidden/>
              </w:rPr>
              <w:fldChar w:fldCharType="begin"/>
            </w:r>
            <w:r>
              <w:rPr>
                <w:noProof/>
                <w:webHidden/>
              </w:rPr>
              <w:instrText xml:space="preserve"> PAGEREF _Toc107495708 \h </w:instrText>
            </w:r>
            <w:r>
              <w:rPr>
                <w:noProof/>
                <w:webHidden/>
              </w:rPr>
            </w:r>
            <w:r>
              <w:rPr>
                <w:noProof/>
                <w:webHidden/>
              </w:rPr>
              <w:fldChar w:fldCharType="separate"/>
            </w:r>
            <w:r>
              <w:rPr>
                <w:noProof/>
                <w:webHidden/>
              </w:rPr>
              <w:t>10</w:t>
            </w:r>
            <w:r>
              <w:rPr>
                <w:noProof/>
                <w:webHidden/>
              </w:rPr>
              <w:fldChar w:fldCharType="end"/>
            </w:r>
          </w:hyperlink>
        </w:p>
        <w:p w14:paraId="3EEEB0D0" w14:textId="42F25A50" w:rsidR="00D26D46" w:rsidRDefault="00D26D46">
          <w:pPr>
            <w:pStyle w:val="TOC3"/>
            <w:tabs>
              <w:tab w:val="left" w:pos="1320"/>
              <w:tab w:val="right" w:leader="dot" w:pos="9062"/>
            </w:tabs>
            <w:rPr>
              <w:noProof/>
              <w:lang w:eastAsia="en-GB"/>
            </w:rPr>
          </w:pPr>
          <w:hyperlink w:anchor="_Toc107495709" w:history="1">
            <w:r w:rsidRPr="00924843">
              <w:rPr>
                <w:rStyle w:val="Hyperlink"/>
                <w:noProof/>
              </w:rPr>
              <w:t>C-1-10</w:t>
            </w:r>
            <w:r>
              <w:rPr>
                <w:noProof/>
                <w:lang w:eastAsia="en-GB"/>
              </w:rPr>
              <w:tab/>
            </w:r>
            <w:r w:rsidRPr="00924843">
              <w:rPr>
                <w:rStyle w:val="Hyperlink"/>
                <w:noProof/>
              </w:rPr>
              <w:t>Settlement Price</w:t>
            </w:r>
            <w:r>
              <w:rPr>
                <w:noProof/>
                <w:webHidden/>
              </w:rPr>
              <w:tab/>
            </w:r>
            <w:r>
              <w:rPr>
                <w:noProof/>
                <w:webHidden/>
              </w:rPr>
              <w:fldChar w:fldCharType="begin"/>
            </w:r>
            <w:r>
              <w:rPr>
                <w:noProof/>
                <w:webHidden/>
              </w:rPr>
              <w:instrText xml:space="preserve"> PAGEREF _Toc107495709 \h </w:instrText>
            </w:r>
            <w:r>
              <w:rPr>
                <w:noProof/>
                <w:webHidden/>
              </w:rPr>
            </w:r>
            <w:r>
              <w:rPr>
                <w:noProof/>
                <w:webHidden/>
              </w:rPr>
              <w:fldChar w:fldCharType="separate"/>
            </w:r>
            <w:r>
              <w:rPr>
                <w:noProof/>
                <w:webHidden/>
              </w:rPr>
              <w:t>11</w:t>
            </w:r>
            <w:r>
              <w:rPr>
                <w:noProof/>
                <w:webHidden/>
              </w:rPr>
              <w:fldChar w:fldCharType="end"/>
            </w:r>
          </w:hyperlink>
        </w:p>
        <w:p w14:paraId="6601F087" w14:textId="36349AEC" w:rsidR="00D26D46" w:rsidRDefault="00D26D46">
          <w:pPr>
            <w:pStyle w:val="TOC3"/>
            <w:tabs>
              <w:tab w:val="left" w:pos="1320"/>
              <w:tab w:val="right" w:leader="dot" w:pos="9062"/>
            </w:tabs>
            <w:rPr>
              <w:noProof/>
              <w:lang w:eastAsia="en-GB"/>
            </w:rPr>
          </w:pPr>
          <w:hyperlink w:anchor="_Toc107495710" w:history="1">
            <w:r w:rsidRPr="00924843">
              <w:rPr>
                <w:rStyle w:val="Hyperlink"/>
                <w:noProof/>
              </w:rPr>
              <w:t>C-1-11</w:t>
            </w:r>
            <w:r>
              <w:rPr>
                <w:noProof/>
                <w:lang w:eastAsia="en-GB"/>
              </w:rPr>
              <w:tab/>
            </w:r>
            <w:r w:rsidRPr="00924843">
              <w:rPr>
                <w:rStyle w:val="Hyperlink"/>
                <w:noProof/>
              </w:rPr>
              <w:t>Settlement Results</w:t>
            </w:r>
            <w:r>
              <w:rPr>
                <w:noProof/>
                <w:webHidden/>
              </w:rPr>
              <w:tab/>
            </w:r>
            <w:r>
              <w:rPr>
                <w:noProof/>
                <w:webHidden/>
              </w:rPr>
              <w:fldChar w:fldCharType="begin"/>
            </w:r>
            <w:r>
              <w:rPr>
                <w:noProof/>
                <w:webHidden/>
              </w:rPr>
              <w:instrText xml:space="preserve"> PAGEREF _Toc107495710 \h </w:instrText>
            </w:r>
            <w:r>
              <w:rPr>
                <w:noProof/>
                <w:webHidden/>
              </w:rPr>
            </w:r>
            <w:r>
              <w:rPr>
                <w:noProof/>
                <w:webHidden/>
              </w:rPr>
              <w:fldChar w:fldCharType="separate"/>
            </w:r>
            <w:r>
              <w:rPr>
                <w:noProof/>
                <w:webHidden/>
              </w:rPr>
              <w:t>11</w:t>
            </w:r>
            <w:r>
              <w:rPr>
                <w:noProof/>
                <w:webHidden/>
              </w:rPr>
              <w:fldChar w:fldCharType="end"/>
            </w:r>
          </w:hyperlink>
        </w:p>
        <w:p w14:paraId="73756A7E" w14:textId="26C7AD51" w:rsidR="00D26D46" w:rsidRDefault="00D26D46">
          <w:pPr>
            <w:pStyle w:val="TOC3"/>
            <w:tabs>
              <w:tab w:val="left" w:pos="1320"/>
              <w:tab w:val="right" w:leader="dot" w:pos="9062"/>
            </w:tabs>
            <w:rPr>
              <w:noProof/>
              <w:lang w:eastAsia="en-GB"/>
            </w:rPr>
          </w:pPr>
          <w:hyperlink w:anchor="_Toc107495711" w:history="1">
            <w:r w:rsidRPr="00924843">
              <w:rPr>
                <w:rStyle w:val="Hyperlink"/>
                <w:noProof/>
              </w:rPr>
              <w:t>C-1-12</w:t>
            </w:r>
            <w:r>
              <w:rPr>
                <w:noProof/>
                <w:lang w:eastAsia="en-GB"/>
              </w:rPr>
              <w:tab/>
            </w:r>
            <w:r w:rsidRPr="00924843">
              <w:rPr>
                <w:rStyle w:val="Hyperlink"/>
                <w:noProof/>
              </w:rPr>
              <w:t>Settlement Reports</w:t>
            </w:r>
            <w:r>
              <w:rPr>
                <w:noProof/>
                <w:webHidden/>
              </w:rPr>
              <w:tab/>
            </w:r>
            <w:r>
              <w:rPr>
                <w:noProof/>
                <w:webHidden/>
              </w:rPr>
              <w:fldChar w:fldCharType="begin"/>
            </w:r>
            <w:r>
              <w:rPr>
                <w:noProof/>
                <w:webHidden/>
              </w:rPr>
              <w:instrText xml:space="preserve"> PAGEREF _Toc107495711 \h </w:instrText>
            </w:r>
            <w:r>
              <w:rPr>
                <w:noProof/>
                <w:webHidden/>
              </w:rPr>
            </w:r>
            <w:r>
              <w:rPr>
                <w:noProof/>
                <w:webHidden/>
              </w:rPr>
              <w:fldChar w:fldCharType="separate"/>
            </w:r>
            <w:r>
              <w:rPr>
                <w:noProof/>
                <w:webHidden/>
              </w:rPr>
              <w:t>11</w:t>
            </w:r>
            <w:r>
              <w:rPr>
                <w:noProof/>
                <w:webHidden/>
              </w:rPr>
              <w:fldChar w:fldCharType="end"/>
            </w:r>
          </w:hyperlink>
        </w:p>
        <w:p w14:paraId="7A8362D9" w14:textId="14F30867" w:rsidR="00D26D46" w:rsidRDefault="00D26D46">
          <w:pPr>
            <w:pStyle w:val="TOC3"/>
            <w:tabs>
              <w:tab w:val="left" w:pos="1320"/>
              <w:tab w:val="right" w:leader="dot" w:pos="9062"/>
            </w:tabs>
            <w:rPr>
              <w:noProof/>
              <w:lang w:eastAsia="en-GB"/>
            </w:rPr>
          </w:pPr>
          <w:hyperlink w:anchor="_Toc107495712" w:history="1">
            <w:r w:rsidRPr="00924843">
              <w:rPr>
                <w:rStyle w:val="Hyperlink"/>
                <w:noProof/>
              </w:rPr>
              <w:t>C-1-13</w:t>
            </w:r>
            <w:r>
              <w:rPr>
                <w:noProof/>
                <w:lang w:eastAsia="en-GB"/>
              </w:rPr>
              <w:tab/>
            </w:r>
            <w:r w:rsidRPr="00924843">
              <w:rPr>
                <w:rStyle w:val="Hyperlink"/>
                <w:noProof/>
              </w:rPr>
              <w:t>Coordination Centre</w:t>
            </w:r>
            <w:r>
              <w:rPr>
                <w:noProof/>
                <w:webHidden/>
              </w:rPr>
              <w:tab/>
            </w:r>
            <w:r>
              <w:rPr>
                <w:noProof/>
                <w:webHidden/>
              </w:rPr>
              <w:fldChar w:fldCharType="begin"/>
            </w:r>
            <w:r>
              <w:rPr>
                <w:noProof/>
                <w:webHidden/>
              </w:rPr>
              <w:instrText xml:space="preserve"> PAGEREF _Toc107495712 \h </w:instrText>
            </w:r>
            <w:r>
              <w:rPr>
                <w:noProof/>
                <w:webHidden/>
              </w:rPr>
            </w:r>
            <w:r>
              <w:rPr>
                <w:noProof/>
                <w:webHidden/>
              </w:rPr>
              <w:fldChar w:fldCharType="separate"/>
            </w:r>
            <w:r>
              <w:rPr>
                <w:noProof/>
                <w:webHidden/>
              </w:rPr>
              <w:t>11</w:t>
            </w:r>
            <w:r>
              <w:rPr>
                <w:noProof/>
                <w:webHidden/>
              </w:rPr>
              <w:fldChar w:fldCharType="end"/>
            </w:r>
          </w:hyperlink>
        </w:p>
        <w:p w14:paraId="1D74216F" w14:textId="032ACA9C" w:rsidR="00D26D46" w:rsidRDefault="00D26D46">
          <w:pPr>
            <w:pStyle w:val="TOC3"/>
            <w:tabs>
              <w:tab w:val="left" w:pos="1320"/>
              <w:tab w:val="right" w:leader="dot" w:pos="9062"/>
            </w:tabs>
            <w:rPr>
              <w:noProof/>
              <w:lang w:eastAsia="en-GB"/>
            </w:rPr>
          </w:pPr>
          <w:hyperlink w:anchor="_Toc107495713" w:history="1">
            <w:r w:rsidRPr="00924843">
              <w:rPr>
                <w:rStyle w:val="Hyperlink"/>
                <w:noProof/>
              </w:rPr>
              <w:t>C-1-14</w:t>
            </w:r>
            <w:r>
              <w:rPr>
                <w:noProof/>
                <w:lang w:eastAsia="en-GB"/>
              </w:rPr>
              <w:tab/>
            </w:r>
            <w:r w:rsidRPr="00924843">
              <w:rPr>
                <w:rStyle w:val="Hyperlink"/>
                <w:noProof/>
              </w:rPr>
              <w:t>Invoicing Entity</w:t>
            </w:r>
            <w:r>
              <w:rPr>
                <w:noProof/>
                <w:webHidden/>
              </w:rPr>
              <w:tab/>
            </w:r>
            <w:r>
              <w:rPr>
                <w:noProof/>
                <w:webHidden/>
              </w:rPr>
              <w:fldChar w:fldCharType="begin"/>
            </w:r>
            <w:r>
              <w:rPr>
                <w:noProof/>
                <w:webHidden/>
              </w:rPr>
              <w:instrText xml:space="preserve"> PAGEREF _Toc107495713 \h </w:instrText>
            </w:r>
            <w:r>
              <w:rPr>
                <w:noProof/>
                <w:webHidden/>
              </w:rPr>
            </w:r>
            <w:r>
              <w:rPr>
                <w:noProof/>
                <w:webHidden/>
              </w:rPr>
              <w:fldChar w:fldCharType="separate"/>
            </w:r>
            <w:r>
              <w:rPr>
                <w:noProof/>
                <w:webHidden/>
              </w:rPr>
              <w:t>12</w:t>
            </w:r>
            <w:r>
              <w:rPr>
                <w:noProof/>
                <w:webHidden/>
              </w:rPr>
              <w:fldChar w:fldCharType="end"/>
            </w:r>
          </w:hyperlink>
        </w:p>
        <w:p w14:paraId="0B3369E2" w14:textId="15FE72DC" w:rsidR="00D26D46" w:rsidRDefault="00D26D46">
          <w:pPr>
            <w:pStyle w:val="TOC2"/>
            <w:rPr>
              <w:noProof/>
              <w:lang w:eastAsia="en-GB"/>
            </w:rPr>
          </w:pPr>
          <w:hyperlink w:anchor="_Toc107495714" w:history="1">
            <w:r w:rsidRPr="00924843">
              <w:rPr>
                <w:rStyle w:val="Hyperlink"/>
                <w:noProof/>
              </w:rPr>
              <w:t>C-2</w:t>
            </w:r>
            <w:r>
              <w:rPr>
                <w:noProof/>
                <w:lang w:eastAsia="en-GB"/>
              </w:rPr>
              <w:tab/>
            </w:r>
            <w:r w:rsidRPr="00924843">
              <w:rPr>
                <w:rStyle w:val="Hyperlink"/>
                <w:noProof/>
              </w:rPr>
              <w:t>Standards – general process overview</w:t>
            </w:r>
            <w:r>
              <w:rPr>
                <w:noProof/>
                <w:webHidden/>
              </w:rPr>
              <w:tab/>
            </w:r>
            <w:r>
              <w:rPr>
                <w:noProof/>
                <w:webHidden/>
              </w:rPr>
              <w:fldChar w:fldCharType="begin"/>
            </w:r>
            <w:r>
              <w:rPr>
                <w:noProof/>
                <w:webHidden/>
              </w:rPr>
              <w:instrText xml:space="preserve"> PAGEREF _Toc107495714 \h </w:instrText>
            </w:r>
            <w:r>
              <w:rPr>
                <w:noProof/>
                <w:webHidden/>
              </w:rPr>
            </w:r>
            <w:r>
              <w:rPr>
                <w:noProof/>
                <w:webHidden/>
              </w:rPr>
              <w:fldChar w:fldCharType="separate"/>
            </w:r>
            <w:r>
              <w:rPr>
                <w:noProof/>
                <w:webHidden/>
              </w:rPr>
              <w:t>12</w:t>
            </w:r>
            <w:r>
              <w:rPr>
                <w:noProof/>
                <w:webHidden/>
              </w:rPr>
              <w:fldChar w:fldCharType="end"/>
            </w:r>
          </w:hyperlink>
        </w:p>
        <w:p w14:paraId="4E71AC50" w14:textId="43278972" w:rsidR="00D26D46" w:rsidRDefault="00D26D46">
          <w:pPr>
            <w:pStyle w:val="TOC3"/>
            <w:tabs>
              <w:tab w:val="left" w:pos="1320"/>
              <w:tab w:val="right" w:leader="dot" w:pos="9062"/>
            </w:tabs>
            <w:rPr>
              <w:noProof/>
              <w:lang w:eastAsia="en-GB"/>
            </w:rPr>
          </w:pPr>
          <w:hyperlink w:anchor="_Toc107495715" w:history="1">
            <w:r w:rsidRPr="00924843">
              <w:rPr>
                <w:rStyle w:val="Hyperlink"/>
                <w:noProof/>
              </w:rPr>
              <w:t>C-2-1</w:t>
            </w:r>
            <w:r>
              <w:rPr>
                <w:noProof/>
                <w:lang w:eastAsia="en-GB"/>
              </w:rPr>
              <w:tab/>
            </w:r>
            <w:r w:rsidRPr="00924843">
              <w:rPr>
                <w:rStyle w:val="Hyperlink"/>
                <w:noProof/>
              </w:rPr>
              <w:t>Overview</w:t>
            </w:r>
            <w:r>
              <w:rPr>
                <w:noProof/>
                <w:webHidden/>
              </w:rPr>
              <w:tab/>
            </w:r>
            <w:r>
              <w:rPr>
                <w:noProof/>
                <w:webHidden/>
              </w:rPr>
              <w:fldChar w:fldCharType="begin"/>
            </w:r>
            <w:r>
              <w:rPr>
                <w:noProof/>
                <w:webHidden/>
              </w:rPr>
              <w:instrText xml:space="preserve"> PAGEREF _Toc107495715 \h </w:instrText>
            </w:r>
            <w:r>
              <w:rPr>
                <w:noProof/>
                <w:webHidden/>
              </w:rPr>
            </w:r>
            <w:r>
              <w:rPr>
                <w:noProof/>
                <w:webHidden/>
              </w:rPr>
              <w:fldChar w:fldCharType="separate"/>
            </w:r>
            <w:r>
              <w:rPr>
                <w:noProof/>
                <w:webHidden/>
              </w:rPr>
              <w:t>12</w:t>
            </w:r>
            <w:r>
              <w:rPr>
                <w:noProof/>
                <w:webHidden/>
              </w:rPr>
              <w:fldChar w:fldCharType="end"/>
            </w:r>
          </w:hyperlink>
        </w:p>
        <w:p w14:paraId="79EC4F27" w14:textId="2B097DDE" w:rsidR="00D26D46" w:rsidRDefault="00D26D46">
          <w:pPr>
            <w:pStyle w:val="TOC3"/>
            <w:tabs>
              <w:tab w:val="left" w:pos="1320"/>
              <w:tab w:val="right" w:leader="dot" w:pos="9062"/>
            </w:tabs>
            <w:rPr>
              <w:noProof/>
              <w:lang w:eastAsia="en-GB"/>
            </w:rPr>
          </w:pPr>
          <w:hyperlink w:anchor="_Toc107495716" w:history="1">
            <w:r w:rsidRPr="00924843">
              <w:rPr>
                <w:rStyle w:val="Hyperlink"/>
                <w:noProof/>
              </w:rPr>
              <w:t>C-2-2</w:t>
            </w:r>
            <w:r>
              <w:rPr>
                <w:noProof/>
                <w:lang w:eastAsia="en-GB"/>
              </w:rPr>
              <w:tab/>
            </w:r>
            <w:r w:rsidRPr="00924843">
              <w:rPr>
                <w:rStyle w:val="Hyperlink"/>
                <w:noProof/>
              </w:rPr>
              <w:t>Workflow for the accounting and settlement process</w:t>
            </w:r>
            <w:r>
              <w:rPr>
                <w:noProof/>
                <w:webHidden/>
              </w:rPr>
              <w:tab/>
            </w:r>
            <w:r>
              <w:rPr>
                <w:noProof/>
                <w:webHidden/>
              </w:rPr>
              <w:fldChar w:fldCharType="begin"/>
            </w:r>
            <w:r>
              <w:rPr>
                <w:noProof/>
                <w:webHidden/>
              </w:rPr>
              <w:instrText xml:space="preserve"> PAGEREF _Toc107495716 \h </w:instrText>
            </w:r>
            <w:r>
              <w:rPr>
                <w:noProof/>
                <w:webHidden/>
              </w:rPr>
            </w:r>
            <w:r>
              <w:rPr>
                <w:noProof/>
                <w:webHidden/>
              </w:rPr>
              <w:fldChar w:fldCharType="separate"/>
            </w:r>
            <w:r>
              <w:rPr>
                <w:noProof/>
                <w:webHidden/>
              </w:rPr>
              <w:t>12</w:t>
            </w:r>
            <w:r>
              <w:rPr>
                <w:noProof/>
                <w:webHidden/>
              </w:rPr>
              <w:fldChar w:fldCharType="end"/>
            </w:r>
          </w:hyperlink>
        </w:p>
        <w:p w14:paraId="79A5800E" w14:textId="4BBC10DF" w:rsidR="00D26D46" w:rsidRDefault="00D26D46">
          <w:pPr>
            <w:pStyle w:val="TOC3"/>
            <w:tabs>
              <w:tab w:val="left" w:pos="1320"/>
              <w:tab w:val="right" w:leader="dot" w:pos="9062"/>
            </w:tabs>
            <w:rPr>
              <w:noProof/>
              <w:lang w:eastAsia="en-GB"/>
            </w:rPr>
          </w:pPr>
          <w:hyperlink w:anchor="_Toc107495717" w:history="1">
            <w:r w:rsidRPr="00924843">
              <w:rPr>
                <w:rStyle w:val="Hyperlink"/>
                <w:noProof/>
              </w:rPr>
              <w:t>C-2-3</w:t>
            </w:r>
            <w:r>
              <w:rPr>
                <w:noProof/>
                <w:lang w:eastAsia="en-GB"/>
              </w:rPr>
              <w:tab/>
            </w:r>
            <w:r w:rsidRPr="00924843">
              <w:rPr>
                <w:rStyle w:val="Hyperlink"/>
                <w:noProof/>
              </w:rPr>
              <w:t>Consideration of time shift CET - CEST</w:t>
            </w:r>
            <w:r>
              <w:rPr>
                <w:noProof/>
                <w:webHidden/>
              </w:rPr>
              <w:tab/>
            </w:r>
            <w:r>
              <w:rPr>
                <w:noProof/>
                <w:webHidden/>
              </w:rPr>
              <w:fldChar w:fldCharType="begin"/>
            </w:r>
            <w:r>
              <w:rPr>
                <w:noProof/>
                <w:webHidden/>
              </w:rPr>
              <w:instrText xml:space="preserve"> PAGEREF _Toc107495717 \h </w:instrText>
            </w:r>
            <w:r>
              <w:rPr>
                <w:noProof/>
                <w:webHidden/>
              </w:rPr>
            </w:r>
            <w:r>
              <w:rPr>
                <w:noProof/>
                <w:webHidden/>
              </w:rPr>
              <w:fldChar w:fldCharType="separate"/>
            </w:r>
            <w:r>
              <w:rPr>
                <w:noProof/>
                <w:webHidden/>
              </w:rPr>
              <w:t>13</w:t>
            </w:r>
            <w:r>
              <w:rPr>
                <w:noProof/>
                <w:webHidden/>
              </w:rPr>
              <w:fldChar w:fldCharType="end"/>
            </w:r>
          </w:hyperlink>
        </w:p>
        <w:p w14:paraId="5D2E80B6" w14:textId="137EBA8D" w:rsidR="00D26D46" w:rsidRDefault="00D26D46">
          <w:pPr>
            <w:pStyle w:val="TOC3"/>
            <w:tabs>
              <w:tab w:val="left" w:pos="1320"/>
              <w:tab w:val="right" w:leader="dot" w:pos="9062"/>
            </w:tabs>
            <w:rPr>
              <w:noProof/>
              <w:lang w:eastAsia="en-GB"/>
            </w:rPr>
          </w:pPr>
          <w:hyperlink w:anchor="_Toc107495718" w:history="1">
            <w:r w:rsidRPr="00924843">
              <w:rPr>
                <w:rStyle w:val="Hyperlink"/>
                <w:noProof/>
              </w:rPr>
              <w:t>C-2-4</w:t>
            </w:r>
            <w:r>
              <w:rPr>
                <w:noProof/>
                <w:lang w:eastAsia="en-GB"/>
              </w:rPr>
              <w:tab/>
            </w:r>
            <w:r w:rsidRPr="00924843">
              <w:rPr>
                <w:rStyle w:val="Hyperlink"/>
                <w:noProof/>
              </w:rPr>
              <w:t>Area Consideration</w:t>
            </w:r>
            <w:r>
              <w:rPr>
                <w:noProof/>
                <w:webHidden/>
              </w:rPr>
              <w:tab/>
            </w:r>
            <w:r>
              <w:rPr>
                <w:noProof/>
                <w:webHidden/>
              </w:rPr>
              <w:fldChar w:fldCharType="begin"/>
            </w:r>
            <w:r>
              <w:rPr>
                <w:noProof/>
                <w:webHidden/>
              </w:rPr>
              <w:instrText xml:space="preserve"> PAGEREF _Toc107495718 \h </w:instrText>
            </w:r>
            <w:r>
              <w:rPr>
                <w:noProof/>
                <w:webHidden/>
              </w:rPr>
            </w:r>
            <w:r>
              <w:rPr>
                <w:noProof/>
                <w:webHidden/>
              </w:rPr>
              <w:fldChar w:fldCharType="separate"/>
            </w:r>
            <w:r>
              <w:rPr>
                <w:noProof/>
                <w:webHidden/>
              </w:rPr>
              <w:t>14</w:t>
            </w:r>
            <w:r>
              <w:rPr>
                <w:noProof/>
                <w:webHidden/>
              </w:rPr>
              <w:fldChar w:fldCharType="end"/>
            </w:r>
          </w:hyperlink>
        </w:p>
        <w:p w14:paraId="5C0CA80C" w14:textId="35EFC394" w:rsidR="00D26D46" w:rsidRDefault="00D26D46">
          <w:pPr>
            <w:pStyle w:val="TOC2"/>
            <w:rPr>
              <w:noProof/>
              <w:lang w:eastAsia="en-GB"/>
            </w:rPr>
          </w:pPr>
          <w:hyperlink w:anchor="_Toc107495719" w:history="1">
            <w:r w:rsidRPr="00924843">
              <w:rPr>
                <w:rStyle w:val="Hyperlink"/>
                <w:noProof/>
              </w:rPr>
              <w:t>C-3</w:t>
            </w:r>
            <w:r>
              <w:rPr>
                <w:noProof/>
                <w:lang w:eastAsia="en-GB"/>
              </w:rPr>
              <w:tab/>
            </w:r>
            <w:r w:rsidRPr="00924843">
              <w:rPr>
                <w:rStyle w:val="Hyperlink"/>
                <w:noProof/>
              </w:rPr>
              <w:t>Standards - General rules</w:t>
            </w:r>
            <w:r>
              <w:rPr>
                <w:noProof/>
                <w:webHidden/>
              </w:rPr>
              <w:tab/>
            </w:r>
            <w:r>
              <w:rPr>
                <w:noProof/>
                <w:webHidden/>
              </w:rPr>
              <w:fldChar w:fldCharType="begin"/>
            </w:r>
            <w:r>
              <w:rPr>
                <w:noProof/>
                <w:webHidden/>
              </w:rPr>
              <w:instrText xml:space="preserve"> PAGEREF _Toc107495719 \h </w:instrText>
            </w:r>
            <w:r>
              <w:rPr>
                <w:noProof/>
                <w:webHidden/>
              </w:rPr>
            </w:r>
            <w:r>
              <w:rPr>
                <w:noProof/>
                <w:webHidden/>
              </w:rPr>
              <w:fldChar w:fldCharType="separate"/>
            </w:r>
            <w:r>
              <w:rPr>
                <w:noProof/>
                <w:webHidden/>
              </w:rPr>
              <w:t>15</w:t>
            </w:r>
            <w:r>
              <w:rPr>
                <w:noProof/>
                <w:webHidden/>
              </w:rPr>
              <w:fldChar w:fldCharType="end"/>
            </w:r>
          </w:hyperlink>
        </w:p>
        <w:p w14:paraId="6C97BDB5" w14:textId="665FE69D" w:rsidR="00D26D46" w:rsidRDefault="00D26D46">
          <w:pPr>
            <w:pStyle w:val="TOC3"/>
            <w:tabs>
              <w:tab w:val="left" w:pos="1320"/>
              <w:tab w:val="right" w:leader="dot" w:pos="9062"/>
            </w:tabs>
            <w:rPr>
              <w:noProof/>
              <w:lang w:eastAsia="en-GB"/>
            </w:rPr>
          </w:pPr>
          <w:hyperlink w:anchor="_Toc107495720" w:history="1">
            <w:r w:rsidRPr="00924843">
              <w:rPr>
                <w:rStyle w:val="Hyperlink"/>
                <w:noProof/>
              </w:rPr>
              <w:t>C-3-1</w:t>
            </w:r>
            <w:r>
              <w:rPr>
                <w:noProof/>
                <w:lang w:eastAsia="en-GB"/>
              </w:rPr>
              <w:tab/>
            </w:r>
            <w:r w:rsidRPr="00924843">
              <w:rPr>
                <w:rStyle w:val="Hyperlink"/>
                <w:noProof/>
              </w:rPr>
              <w:t>Accounting and Settlement Period</w:t>
            </w:r>
            <w:r>
              <w:rPr>
                <w:noProof/>
                <w:webHidden/>
              </w:rPr>
              <w:tab/>
            </w:r>
            <w:r>
              <w:rPr>
                <w:noProof/>
                <w:webHidden/>
              </w:rPr>
              <w:fldChar w:fldCharType="begin"/>
            </w:r>
            <w:r>
              <w:rPr>
                <w:noProof/>
                <w:webHidden/>
              </w:rPr>
              <w:instrText xml:space="preserve"> PAGEREF _Toc107495720 \h </w:instrText>
            </w:r>
            <w:r>
              <w:rPr>
                <w:noProof/>
                <w:webHidden/>
              </w:rPr>
            </w:r>
            <w:r>
              <w:rPr>
                <w:noProof/>
                <w:webHidden/>
              </w:rPr>
              <w:fldChar w:fldCharType="separate"/>
            </w:r>
            <w:r>
              <w:rPr>
                <w:noProof/>
                <w:webHidden/>
              </w:rPr>
              <w:t>15</w:t>
            </w:r>
            <w:r>
              <w:rPr>
                <w:noProof/>
                <w:webHidden/>
              </w:rPr>
              <w:fldChar w:fldCharType="end"/>
            </w:r>
          </w:hyperlink>
        </w:p>
        <w:p w14:paraId="1455B16F" w14:textId="5B01F72B" w:rsidR="00D26D46" w:rsidRDefault="00D26D46">
          <w:pPr>
            <w:pStyle w:val="TOC3"/>
            <w:tabs>
              <w:tab w:val="left" w:pos="1320"/>
              <w:tab w:val="right" w:leader="dot" w:pos="9062"/>
            </w:tabs>
            <w:rPr>
              <w:noProof/>
              <w:lang w:eastAsia="en-GB"/>
            </w:rPr>
          </w:pPr>
          <w:hyperlink w:anchor="_Toc107495721" w:history="1">
            <w:r w:rsidRPr="00924843">
              <w:rPr>
                <w:rStyle w:val="Hyperlink"/>
                <w:noProof/>
              </w:rPr>
              <w:t>C-3-2</w:t>
            </w:r>
            <w:r>
              <w:rPr>
                <w:noProof/>
                <w:lang w:eastAsia="en-GB"/>
              </w:rPr>
              <w:tab/>
            </w:r>
            <w:r w:rsidRPr="00924843">
              <w:rPr>
                <w:rStyle w:val="Hyperlink"/>
                <w:noProof/>
              </w:rPr>
              <w:t>Availability</w:t>
            </w:r>
            <w:r>
              <w:rPr>
                <w:noProof/>
                <w:webHidden/>
              </w:rPr>
              <w:tab/>
            </w:r>
            <w:r>
              <w:rPr>
                <w:noProof/>
                <w:webHidden/>
              </w:rPr>
              <w:fldChar w:fldCharType="begin"/>
            </w:r>
            <w:r>
              <w:rPr>
                <w:noProof/>
                <w:webHidden/>
              </w:rPr>
              <w:instrText xml:space="preserve"> PAGEREF _Toc107495721 \h </w:instrText>
            </w:r>
            <w:r>
              <w:rPr>
                <w:noProof/>
                <w:webHidden/>
              </w:rPr>
            </w:r>
            <w:r>
              <w:rPr>
                <w:noProof/>
                <w:webHidden/>
              </w:rPr>
              <w:fldChar w:fldCharType="separate"/>
            </w:r>
            <w:r>
              <w:rPr>
                <w:noProof/>
                <w:webHidden/>
              </w:rPr>
              <w:t>15</w:t>
            </w:r>
            <w:r>
              <w:rPr>
                <w:noProof/>
                <w:webHidden/>
              </w:rPr>
              <w:fldChar w:fldCharType="end"/>
            </w:r>
          </w:hyperlink>
        </w:p>
        <w:p w14:paraId="3684995C" w14:textId="4463E01B" w:rsidR="00D26D46" w:rsidRDefault="00D26D46">
          <w:pPr>
            <w:pStyle w:val="TOC3"/>
            <w:tabs>
              <w:tab w:val="left" w:pos="1320"/>
              <w:tab w:val="right" w:leader="dot" w:pos="9062"/>
            </w:tabs>
            <w:rPr>
              <w:noProof/>
              <w:lang w:eastAsia="en-GB"/>
            </w:rPr>
          </w:pPr>
          <w:hyperlink w:anchor="_Toc107495722" w:history="1">
            <w:r w:rsidRPr="00924843">
              <w:rPr>
                <w:rStyle w:val="Hyperlink"/>
                <w:noProof/>
              </w:rPr>
              <w:t>C-3-3</w:t>
            </w:r>
            <w:r>
              <w:rPr>
                <w:noProof/>
                <w:lang w:eastAsia="en-GB"/>
              </w:rPr>
              <w:tab/>
            </w:r>
            <w:r w:rsidRPr="00924843">
              <w:rPr>
                <w:rStyle w:val="Hyperlink"/>
                <w:noProof/>
              </w:rPr>
              <w:t>Local exceptions</w:t>
            </w:r>
            <w:r>
              <w:rPr>
                <w:noProof/>
                <w:webHidden/>
              </w:rPr>
              <w:tab/>
            </w:r>
            <w:r>
              <w:rPr>
                <w:noProof/>
                <w:webHidden/>
              </w:rPr>
              <w:fldChar w:fldCharType="begin"/>
            </w:r>
            <w:r>
              <w:rPr>
                <w:noProof/>
                <w:webHidden/>
              </w:rPr>
              <w:instrText xml:space="preserve"> PAGEREF _Toc107495722 \h </w:instrText>
            </w:r>
            <w:r>
              <w:rPr>
                <w:noProof/>
                <w:webHidden/>
              </w:rPr>
            </w:r>
            <w:r>
              <w:rPr>
                <w:noProof/>
                <w:webHidden/>
              </w:rPr>
              <w:fldChar w:fldCharType="separate"/>
            </w:r>
            <w:r>
              <w:rPr>
                <w:noProof/>
                <w:webHidden/>
              </w:rPr>
              <w:t>15</w:t>
            </w:r>
            <w:r>
              <w:rPr>
                <w:noProof/>
                <w:webHidden/>
              </w:rPr>
              <w:fldChar w:fldCharType="end"/>
            </w:r>
          </w:hyperlink>
        </w:p>
        <w:p w14:paraId="17FC3471" w14:textId="1EAF5A36" w:rsidR="00D26D46" w:rsidRDefault="00D26D46">
          <w:pPr>
            <w:pStyle w:val="TOC3"/>
            <w:tabs>
              <w:tab w:val="left" w:pos="1320"/>
              <w:tab w:val="right" w:leader="dot" w:pos="9062"/>
            </w:tabs>
            <w:rPr>
              <w:noProof/>
              <w:lang w:eastAsia="en-GB"/>
            </w:rPr>
          </w:pPr>
          <w:hyperlink w:anchor="_Toc107495723" w:history="1">
            <w:r w:rsidRPr="00924843">
              <w:rPr>
                <w:rStyle w:val="Hyperlink"/>
                <w:noProof/>
              </w:rPr>
              <w:t>C-3-4</w:t>
            </w:r>
            <w:r>
              <w:rPr>
                <w:noProof/>
                <w:lang w:eastAsia="en-GB"/>
              </w:rPr>
              <w:tab/>
            </w:r>
            <w:r w:rsidRPr="00924843">
              <w:rPr>
                <w:rStyle w:val="Hyperlink"/>
                <w:noProof/>
              </w:rPr>
              <w:t>Consideration of DC-links</w:t>
            </w:r>
            <w:r>
              <w:rPr>
                <w:noProof/>
                <w:webHidden/>
              </w:rPr>
              <w:tab/>
            </w:r>
            <w:r>
              <w:rPr>
                <w:noProof/>
                <w:webHidden/>
              </w:rPr>
              <w:fldChar w:fldCharType="begin"/>
            </w:r>
            <w:r>
              <w:rPr>
                <w:noProof/>
                <w:webHidden/>
              </w:rPr>
              <w:instrText xml:space="preserve"> PAGEREF _Toc107495723 \h </w:instrText>
            </w:r>
            <w:r>
              <w:rPr>
                <w:noProof/>
                <w:webHidden/>
              </w:rPr>
            </w:r>
            <w:r>
              <w:rPr>
                <w:noProof/>
                <w:webHidden/>
              </w:rPr>
              <w:fldChar w:fldCharType="separate"/>
            </w:r>
            <w:r>
              <w:rPr>
                <w:noProof/>
                <w:webHidden/>
              </w:rPr>
              <w:t>15</w:t>
            </w:r>
            <w:r>
              <w:rPr>
                <w:noProof/>
                <w:webHidden/>
              </w:rPr>
              <w:fldChar w:fldCharType="end"/>
            </w:r>
          </w:hyperlink>
        </w:p>
        <w:p w14:paraId="41749A9C" w14:textId="7E52CF7C" w:rsidR="00D26D46" w:rsidRDefault="00D26D46">
          <w:pPr>
            <w:pStyle w:val="TOC3"/>
            <w:tabs>
              <w:tab w:val="left" w:pos="1320"/>
              <w:tab w:val="right" w:leader="dot" w:pos="9062"/>
            </w:tabs>
            <w:rPr>
              <w:noProof/>
              <w:lang w:eastAsia="en-GB"/>
            </w:rPr>
          </w:pPr>
          <w:hyperlink w:anchor="_Toc107495724" w:history="1">
            <w:r w:rsidRPr="00924843">
              <w:rPr>
                <w:rStyle w:val="Hyperlink"/>
                <w:noProof/>
              </w:rPr>
              <w:t>C-3-5</w:t>
            </w:r>
            <w:r>
              <w:rPr>
                <w:noProof/>
                <w:lang w:eastAsia="en-GB"/>
              </w:rPr>
              <w:tab/>
            </w:r>
            <w:r w:rsidRPr="00924843">
              <w:rPr>
                <w:rStyle w:val="Hyperlink"/>
                <w:noProof/>
              </w:rPr>
              <w:t>Modification of the accounting process and related data</w:t>
            </w:r>
            <w:r>
              <w:rPr>
                <w:noProof/>
                <w:webHidden/>
              </w:rPr>
              <w:tab/>
            </w:r>
            <w:r>
              <w:rPr>
                <w:noProof/>
                <w:webHidden/>
              </w:rPr>
              <w:fldChar w:fldCharType="begin"/>
            </w:r>
            <w:r>
              <w:rPr>
                <w:noProof/>
                <w:webHidden/>
              </w:rPr>
              <w:instrText xml:space="preserve"> PAGEREF _Toc107495724 \h </w:instrText>
            </w:r>
            <w:r>
              <w:rPr>
                <w:noProof/>
                <w:webHidden/>
              </w:rPr>
            </w:r>
            <w:r>
              <w:rPr>
                <w:noProof/>
                <w:webHidden/>
              </w:rPr>
              <w:fldChar w:fldCharType="separate"/>
            </w:r>
            <w:r>
              <w:rPr>
                <w:noProof/>
                <w:webHidden/>
              </w:rPr>
              <w:t>15</w:t>
            </w:r>
            <w:r>
              <w:rPr>
                <w:noProof/>
                <w:webHidden/>
              </w:rPr>
              <w:fldChar w:fldCharType="end"/>
            </w:r>
          </w:hyperlink>
        </w:p>
        <w:p w14:paraId="315C180F" w14:textId="03E0D3FD" w:rsidR="00D26D46" w:rsidRDefault="00D26D46">
          <w:pPr>
            <w:pStyle w:val="TOC3"/>
            <w:tabs>
              <w:tab w:val="left" w:pos="1320"/>
              <w:tab w:val="right" w:leader="dot" w:pos="9062"/>
            </w:tabs>
            <w:rPr>
              <w:noProof/>
              <w:lang w:eastAsia="en-GB"/>
            </w:rPr>
          </w:pPr>
          <w:hyperlink w:anchor="_Toc107495725" w:history="1">
            <w:r w:rsidRPr="00924843">
              <w:rPr>
                <w:rStyle w:val="Hyperlink"/>
                <w:noProof/>
              </w:rPr>
              <w:t>C-3-6</w:t>
            </w:r>
            <w:r>
              <w:rPr>
                <w:noProof/>
                <w:lang w:eastAsia="en-GB"/>
              </w:rPr>
              <w:tab/>
            </w:r>
            <w:r w:rsidRPr="00924843">
              <w:rPr>
                <w:rStyle w:val="Hyperlink"/>
                <w:noProof/>
              </w:rPr>
              <w:t>Rounding rules</w:t>
            </w:r>
            <w:r>
              <w:rPr>
                <w:noProof/>
                <w:webHidden/>
              </w:rPr>
              <w:tab/>
            </w:r>
            <w:r>
              <w:rPr>
                <w:noProof/>
                <w:webHidden/>
              </w:rPr>
              <w:fldChar w:fldCharType="begin"/>
            </w:r>
            <w:r>
              <w:rPr>
                <w:noProof/>
                <w:webHidden/>
              </w:rPr>
              <w:instrText xml:space="preserve"> PAGEREF _Toc107495725 \h </w:instrText>
            </w:r>
            <w:r>
              <w:rPr>
                <w:noProof/>
                <w:webHidden/>
              </w:rPr>
            </w:r>
            <w:r>
              <w:rPr>
                <w:noProof/>
                <w:webHidden/>
              </w:rPr>
              <w:fldChar w:fldCharType="separate"/>
            </w:r>
            <w:r>
              <w:rPr>
                <w:noProof/>
                <w:webHidden/>
              </w:rPr>
              <w:t>15</w:t>
            </w:r>
            <w:r>
              <w:rPr>
                <w:noProof/>
                <w:webHidden/>
              </w:rPr>
              <w:fldChar w:fldCharType="end"/>
            </w:r>
          </w:hyperlink>
        </w:p>
        <w:p w14:paraId="3513B292" w14:textId="51306AF6" w:rsidR="00D26D46" w:rsidRDefault="00D26D46">
          <w:pPr>
            <w:pStyle w:val="TOC3"/>
            <w:tabs>
              <w:tab w:val="left" w:pos="1320"/>
              <w:tab w:val="right" w:leader="dot" w:pos="9062"/>
            </w:tabs>
            <w:rPr>
              <w:noProof/>
              <w:lang w:eastAsia="en-GB"/>
            </w:rPr>
          </w:pPr>
          <w:hyperlink w:anchor="_Toc107495726" w:history="1">
            <w:r w:rsidRPr="00924843">
              <w:rPr>
                <w:rStyle w:val="Hyperlink"/>
                <w:noProof/>
              </w:rPr>
              <w:t>C-3-7</w:t>
            </w:r>
            <w:r>
              <w:rPr>
                <w:noProof/>
                <w:lang w:eastAsia="en-GB"/>
              </w:rPr>
              <w:tab/>
            </w:r>
            <w:r w:rsidRPr="00924843">
              <w:rPr>
                <w:rStyle w:val="Hyperlink"/>
                <w:noProof/>
              </w:rPr>
              <w:t>Electronic Data Exchange</w:t>
            </w:r>
            <w:r>
              <w:rPr>
                <w:noProof/>
                <w:webHidden/>
              </w:rPr>
              <w:tab/>
            </w:r>
            <w:r>
              <w:rPr>
                <w:noProof/>
                <w:webHidden/>
              </w:rPr>
              <w:fldChar w:fldCharType="begin"/>
            </w:r>
            <w:r>
              <w:rPr>
                <w:noProof/>
                <w:webHidden/>
              </w:rPr>
              <w:instrText xml:space="preserve"> PAGEREF _Toc107495726 \h </w:instrText>
            </w:r>
            <w:r>
              <w:rPr>
                <w:noProof/>
                <w:webHidden/>
              </w:rPr>
            </w:r>
            <w:r>
              <w:rPr>
                <w:noProof/>
                <w:webHidden/>
              </w:rPr>
              <w:fldChar w:fldCharType="separate"/>
            </w:r>
            <w:r>
              <w:rPr>
                <w:noProof/>
                <w:webHidden/>
              </w:rPr>
              <w:t>16</w:t>
            </w:r>
            <w:r>
              <w:rPr>
                <w:noProof/>
                <w:webHidden/>
              </w:rPr>
              <w:fldChar w:fldCharType="end"/>
            </w:r>
          </w:hyperlink>
        </w:p>
        <w:p w14:paraId="4FB64A94" w14:textId="3431A345" w:rsidR="00D26D46" w:rsidRDefault="00D26D46">
          <w:pPr>
            <w:pStyle w:val="TOC3"/>
            <w:tabs>
              <w:tab w:val="left" w:pos="1320"/>
              <w:tab w:val="right" w:leader="dot" w:pos="9062"/>
            </w:tabs>
            <w:rPr>
              <w:noProof/>
              <w:lang w:eastAsia="en-GB"/>
            </w:rPr>
          </w:pPr>
          <w:hyperlink w:anchor="_Toc107495727" w:history="1">
            <w:r w:rsidRPr="00924843">
              <w:rPr>
                <w:rStyle w:val="Hyperlink"/>
                <w:noProof/>
              </w:rPr>
              <w:t>C-3-8</w:t>
            </w:r>
            <w:r>
              <w:rPr>
                <w:noProof/>
                <w:lang w:eastAsia="en-GB"/>
              </w:rPr>
              <w:tab/>
            </w:r>
            <w:r w:rsidRPr="00924843">
              <w:rPr>
                <w:rStyle w:val="Hyperlink"/>
                <w:noProof/>
              </w:rPr>
              <w:t>Troubleshooting</w:t>
            </w:r>
            <w:r>
              <w:rPr>
                <w:noProof/>
                <w:webHidden/>
              </w:rPr>
              <w:tab/>
            </w:r>
            <w:r>
              <w:rPr>
                <w:noProof/>
                <w:webHidden/>
              </w:rPr>
              <w:fldChar w:fldCharType="begin"/>
            </w:r>
            <w:r>
              <w:rPr>
                <w:noProof/>
                <w:webHidden/>
              </w:rPr>
              <w:instrText xml:space="preserve"> PAGEREF _Toc107495727 \h </w:instrText>
            </w:r>
            <w:r>
              <w:rPr>
                <w:noProof/>
                <w:webHidden/>
              </w:rPr>
            </w:r>
            <w:r>
              <w:rPr>
                <w:noProof/>
                <w:webHidden/>
              </w:rPr>
              <w:fldChar w:fldCharType="separate"/>
            </w:r>
            <w:r>
              <w:rPr>
                <w:noProof/>
                <w:webHidden/>
              </w:rPr>
              <w:t>16</w:t>
            </w:r>
            <w:r>
              <w:rPr>
                <w:noProof/>
                <w:webHidden/>
              </w:rPr>
              <w:fldChar w:fldCharType="end"/>
            </w:r>
          </w:hyperlink>
        </w:p>
        <w:p w14:paraId="1F57EACE" w14:textId="017CCD44" w:rsidR="00D26D46" w:rsidRDefault="00D26D46">
          <w:pPr>
            <w:pStyle w:val="TOC2"/>
            <w:rPr>
              <w:noProof/>
              <w:lang w:eastAsia="en-GB"/>
            </w:rPr>
          </w:pPr>
          <w:hyperlink w:anchor="_Toc107495728" w:history="1">
            <w:r w:rsidRPr="00924843">
              <w:rPr>
                <w:rStyle w:val="Hyperlink"/>
                <w:noProof/>
              </w:rPr>
              <w:t>C-4</w:t>
            </w:r>
            <w:r>
              <w:rPr>
                <w:noProof/>
                <w:lang w:eastAsia="en-GB"/>
              </w:rPr>
              <w:tab/>
            </w:r>
            <w:r w:rsidRPr="00924843">
              <w:rPr>
                <w:rStyle w:val="Hyperlink"/>
                <w:noProof/>
              </w:rPr>
              <w:t>Standards - Bilateral agreement for the accounting/settlement process</w:t>
            </w:r>
            <w:r>
              <w:rPr>
                <w:noProof/>
                <w:webHidden/>
              </w:rPr>
              <w:tab/>
            </w:r>
            <w:r>
              <w:rPr>
                <w:noProof/>
                <w:webHidden/>
              </w:rPr>
              <w:fldChar w:fldCharType="begin"/>
            </w:r>
            <w:r>
              <w:rPr>
                <w:noProof/>
                <w:webHidden/>
              </w:rPr>
              <w:instrText xml:space="preserve"> PAGEREF _Toc107495728 \h </w:instrText>
            </w:r>
            <w:r>
              <w:rPr>
                <w:noProof/>
                <w:webHidden/>
              </w:rPr>
            </w:r>
            <w:r>
              <w:rPr>
                <w:noProof/>
                <w:webHidden/>
              </w:rPr>
              <w:fldChar w:fldCharType="separate"/>
            </w:r>
            <w:r>
              <w:rPr>
                <w:noProof/>
                <w:webHidden/>
              </w:rPr>
              <w:t>17</w:t>
            </w:r>
            <w:r>
              <w:rPr>
                <w:noProof/>
                <w:webHidden/>
              </w:rPr>
              <w:fldChar w:fldCharType="end"/>
            </w:r>
          </w:hyperlink>
        </w:p>
        <w:p w14:paraId="0AD7AEEA" w14:textId="38CB91D5" w:rsidR="00D26D46" w:rsidRDefault="00D26D46">
          <w:pPr>
            <w:pStyle w:val="TOC3"/>
            <w:tabs>
              <w:tab w:val="left" w:pos="1320"/>
              <w:tab w:val="right" w:leader="dot" w:pos="9062"/>
            </w:tabs>
            <w:rPr>
              <w:noProof/>
              <w:lang w:eastAsia="en-GB"/>
            </w:rPr>
          </w:pPr>
          <w:hyperlink w:anchor="_Toc107495729" w:history="1">
            <w:r w:rsidRPr="00924843">
              <w:rPr>
                <w:rStyle w:val="Hyperlink"/>
                <w:noProof/>
              </w:rPr>
              <w:t>C-4-1</w:t>
            </w:r>
            <w:r>
              <w:rPr>
                <w:noProof/>
                <w:lang w:eastAsia="en-GB"/>
              </w:rPr>
              <w:tab/>
            </w:r>
            <w:r w:rsidRPr="00924843">
              <w:rPr>
                <w:rStyle w:val="Hyperlink"/>
                <w:noProof/>
              </w:rPr>
              <w:t>List of tie-lines, meter measurement and accounting data</w:t>
            </w:r>
            <w:r>
              <w:rPr>
                <w:noProof/>
                <w:webHidden/>
              </w:rPr>
              <w:tab/>
            </w:r>
            <w:r>
              <w:rPr>
                <w:noProof/>
                <w:webHidden/>
              </w:rPr>
              <w:fldChar w:fldCharType="begin"/>
            </w:r>
            <w:r>
              <w:rPr>
                <w:noProof/>
                <w:webHidden/>
              </w:rPr>
              <w:instrText xml:space="preserve"> PAGEREF _Toc107495729 \h </w:instrText>
            </w:r>
            <w:r>
              <w:rPr>
                <w:noProof/>
                <w:webHidden/>
              </w:rPr>
            </w:r>
            <w:r>
              <w:rPr>
                <w:noProof/>
                <w:webHidden/>
              </w:rPr>
              <w:fldChar w:fldCharType="separate"/>
            </w:r>
            <w:r>
              <w:rPr>
                <w:noProof/>
                <w:webHidden/>
              </w:rPr>
              <w:t>17</w:t>
            </w:r>
            <w:r>
              <w:rPr>
                <w:noProof/>
                <w:webHidden/>
              </w:rPr>
              <w:fldChar w:fldCharType="end"/>
            </w:r>
          </w:hyperlink>
        </w:p>
        <w:p w14:paraId="0F5E04D4" w14:textId="62F1B0EA" w:rsidR="00D26D46" w:rsidRDefault="00D26D46">
          <w:pPr>
            <w:pStyle w:val="TOC3"/>
            <w:tabs>
              <w:tab w:val="left" w:pos="1320"/>
              <w:tab w:val="right" w:leader="dot" w:pos="9062"/>
            </w:tabs>
            <w:rPr>
              <w:noProof/>
              <w:lang w:eastAsia="en-GB"/>
            </w:rPr>
          </w:pPr>
          <w:hyperlink w:anchor="_Toc107495730" w:history="1">
            <w:r w:rsidRPr="00924843">
              <w:rPr>
                <w:rStyle w:val="Hyperlink"/>
                <w:noProof/>
              </w:rPr>
              <w:t>C-4-2</w:t>
            </w:r>
            <w:r>
              <w:rPr>
                <w:noProof/>
                <w:lang w:eastAsia="en-GB"/>
              </w:rPr>
              <w:tab/>
            </w:r>
            <w:r w:rsidRPr="00924843">
              <w:rPr>
                <w:rStyle w:val="Hyperlink"/>
                <w:noProof/>
              </w:rPr>
              <w:t>Data format</w:t>
            </w:r>
            <w:r>
              <w:rPr>
                <w:noProof/>
                <w:webHidden/>
              </w:rPr>
              <w:tab/>
            </w:r>
            <w:r>
              <w:rPr>
                <w:noProof/>
                <w:webHidden/>
              </w:rPr>
              <w:fldChar w:fldCharType="begin"/>
            </w:r>
            <w:r>
              <w:rPr>
                <w:noProof/>
                <w:webHidden/>
              </w:rPr>
              <w:instrText xml:space="preserve"> PAGEREF _Toc107495730 \h </w:instrText>
            </w:r>
            <w:r>
              <w:rPr>
                <w:noProof/>
                <w:webHidden/>
              </w:rPr>
            </w:r>
            <w:r>
              <w:rPr>
                <w:noProof/>
                <w:webHidden/>
              </w:rPr>
              <w:fldChar w:fldCharType="separate"/>
            </w:r>
            <w:r>
              <w:rPr>
                <w:noProof/>
                <w:webHidden/>
              </w:rPr>
              <w:t>17</w:t>
            </w:r>
            <w:r>
              <w:rPr>
                <w:noProof/>
                <w:webHidden/>
              </w:rPr>
              <w:fldChar w:fldCharType="end"/>
            </w:r>
          </w:hyperlink>
        </w:p>
        <w:p w14:paraId="24EBE6E0" w14:textId="44774A4B" w:rsidR="00D26D46" w:rsidRDefault="00D26D46">
          <w:pPr>
            <w:pStyle w:val="TOC3"/>
            <w:tabs>
              <w:tab w:val="left" w:pos="1320"/>
              <w:tab w:val="right" w:leader="dot" w:pos="9062"/>
            </w:tabs>
            <w:rPr>
              <w:noProof/>
              <w:lang w:eastAsia="en-GB"/>
            </w:rPr>
          </w:pPr>
          <w:hyperlink w:anchor="_Toc107495731" w:history="1">
            <w:r w:rsidRPr="00924843">
              <w:rPr>
                <w:rStyle w:val="Hyperlink"/>
                <w:rFonts w:ascii="Arial" w:hAnsi="Arial" w:cs="Arial"/>
                <w:noProof/>
              </w:rPr>
              <w:t>C-4-3</w:t>
            </w:r>
            <w:r>
              <w:rPr>
                <w:noProof/>
                <w:lang w:eastAsia="en-GB"/>
              </w:rPr>
              <w:tab/>
            </w:r>
            <w:r w:rsidRPr="00924843">
              <w:rPr>
                <w:rStyle w:val="Hyperlink"/>
                <w:noProof/>
              </w:rPr>
              <w:t>Trouble shooting</w:t>
            </w:r>
            <w:r>
              <w:rPr>
                <w:noProof/>
                <w:webHidden/>
              </w:rPr>
              <w:tab/>
            </w:r>
            <w:r>
              <w:rPr>
                <w:noProof/>
                <w:webHidden/>
              </w:rPr>
              <w:fldChar w:fldCharType="begin"/>
            </w:r>
            <w:r>
              <w:rPr>
                <w:noProof/>
                <w:webHidden/>
              </w:rPr>
              <w:instrText xml:space="preserve"> PAGEREF _Toc107495731 \h </w:instrText>
            </w:r>
            <w:r>
              <w:rPr>
                <w:noProof/>
                <w:webHidden/>
              </w:rPr>
            </w:r>
            <w:r>
              <w:rPr>
                <w:noProof/>
                <w:webHidden/>
              </w:rPr>
              <w:fldChar w:fldCharType="separate"/>
            </w:r>
            <w:r>
              <w:rPr>
                <w:noProof/>
                <w:webHidden/>
              </w:rPr>
              <w:t>17</w:t>
            </w:r>
            <w:r>
              <w:rPr>
                <w:noProof/>
                <w:webHidden/>
              </w:rPr>
              <w:fldChar w:fldCharType="end"/>
            </w:r>
          </w:hyperlink>
        </w:p>
        <w:p w14:paraId="0904D926" w14:textId="7CC829EC" w:rsidR="00D26D46" w:rsidRDefault="00D26D46">
          <w:pPr>
            <w:pStyle w:val="TOC3"/>
            <w:tabs>
              <w:tab w:val="left" w:pos="1320"/>
              <w:tab w:val="right" w:leader="dot" w:pos="9062"/>
            </w:tabs>
            <w:rPr>
              <w:noProof/>
              <w:lang w:eastAsia="en-GB"/>
            </w:rPr>
          </w:pPr>
          <w:hyperlink w:anchor="_Toc107495732" w:history="1">
            <w:r w:rsidRPr="00924843">
              <w:rPr>
                <w:rStyle w:val="Hyperlink"/>
                <w:noProof/>
              </w:rPr>
              <w:t>C-4-4</w:t>
            </w:r>
            <w:r>
              <w:rPr>
                <w:noProof/>
                <w:lang w:eastAsia="en-GB"/>
              </w:rPr>
              <w:tab/>
            </w:r>
            <w:r w:rsidRPr="00924843">
              <w:rPr>
                <w:rStyle w:val="Hyperlink"/>
                <w:noProof/>
              </w:rPr>
              <w:t>Resolution</w:t>
            </w:r>
            <w:r>
              <w:rPr>
                <w:noProof/>
                <w:webHidden/>
              </w:rPr>
              <w:tab/>
            </w:r>
            <w:r>
              <w:rPr>
                <w:noProof/>
                <w:webHidden/>
              </w:rPr>
              <w:fldChar w:fldCharType="begin"/>
            </w:r>
            <w:r>
              <w:rPr>
                <w:noProof/>
                <w:webHidden/>
              </w:rPr>
              <w:instrText xml:space="preserve"> PAGEREF _Toc107495732 \h </w:instrText>
            </w:r>
            <w:r>
              <w:rPr>
                <w:noProof/>
                <w:webHidden/>
              </w:rPr>
            </w:r>
            <w:r>
              <w:rPr>
                <w:noProof/>
                <w:webHidden/>
              </w:rPr>
              <w:fldChar w:fldCharType="separate"/>
            </w:r>
            <w:r>
              <w:rPr>
                <w:noProof/>
                <w:webHidden/>
              </w:rPr>
              <w:t>18</w:t>
            </w:r>
            <w:r>
              <w:rPr>
                <w:noProof/>
                <w:webHidden/>
              </w:rPr>
              <w:fldChar w:fldCharType="end"/>
            </w:r>
          </w:hyperlink>
        </w:p>
        <w:p w14:paraId="1A0B3C02" w14:textId="1F631347" w:rsidR="00D26D46" w:rsidRDefault="00D26D46">
          <w:pPr>
            <w:pStyle w:val="TOC3"/>
            <w:tabs>
              <w:tab w:val="left" w:pos="1320"/>
              <w:tab w:val="right" w:leader="dot" w:pos="9062"/>
            </w:tabs>
            <w:rPr>
              <w:noProof/>
              <w:lang w:eastAsia="en-GB"/>
            </w:rPr>
          </w:pPr>
          <w:hyperlink w:anchor="_Toc107495733" w:history="1">
            <w:r w:rsidRPr="00924843">
              <w:rPr>
                <w:rStyle w:val="Hyperlink"/>
                <w:noProof/>
              </w:rPr>
              <w:t>C-4-5</w:t>
            </w:r>
            <w:r>
              <w:rPr>
                <w:noProof/>
                <w:lang w:eastAsia="en-GB"/>
              </w:rPr>
              <w:tab/>
            </w:r>
            <w:r w:rsidRPr="00924843">
              <w:rPr>
                <w:rStyle w:val="Hyperlink"/>
                <w:noProof/>
              </w:rPr>
              <w:t>Consideration of line losses</w:t>
            </w:r>
            <w:r>
              <w:rPr>
                <w:noProof/>
                <w:webHidden/>
              </w:rPr>
              <w:tab/>
            </w:r>
            <w:r>
              <w:rPr>
                <w:noProof/>
                <w:webHidden/>
              </w:rPr>
              <w:fldChar w:fldCharType="begin"/>
            </w:r>
            <w:r>
              <w:rPr>
                <w:noProof/>
                <w:webHidden/>
              </w:rPr>
              <w:instrText xml:space="preserve"> PAGEREF _Toc107495733 \h </w:instrText>
            </w:r>
            <w:r>
              <w:rPr>
                <w:noProof/>
                <w:webHidden/>
              </w:rPr>
            </w:r>
            <w:r>
              <w:rPr>
                <w:noProof/>
                <w:webHidden/>
              </w:rPr>
              <w:fldChar w:fldCharType="separate"/>
            </w:r>
            <w:r>
              <w:rPr>
                <w:noProof/>
                <w:webHidden/>
              </w:rPr>
              <w:t>18</w:t>
            </w:r>
            <w:r>
              <w:rPr>
                <w:noProof/>
                <w:webHidden/>
              </w:rPr>
              <w:fldChar w:fldCharType="end"/>
            </w:r>
          </w:hyperlink>
        </w:p>
        <w:p w14:paraId="3C09CADB" w14:textId="654D86CF" w:rsidR="00D26D46" w:rsidRDefault="00D26D46">
          <w:pPr>
            <w:pStyle w:val="TOC2"/>
            <w:rPr>
              <w:noProof/>
              <w:lang w:eastAsia="en-GB"/>
            </w:rPr>
          </w:pPr>
          <w:hyperlink w:anchor="_Toc107495734" w:history="1">
            <w:r w:rsidRPr="00924843">
              <w:rPr>
                <w:rStyle w:val="Hyperlink"/>
                <w:noProof/>
              </w:rPr>
              <w:t>C-5</w:t>
            </w:r>
            <w:r>
              <w:rPr>
                <w:noProof/>
                <w:lang w:eastAsia="en-GB"/>
              </w:rPr>
              <w:tab/>
            </w:r>
            <w:r w:rsidRPr="00924843">
              <w:rPr>
                <w:rStyle w:val="Hyperlink"/>
                <w:noProof/>
              </w:rPr>
              <w:t>Standards - Accounting process</w:t>
            </w:r>
            <w:r>
              <w:rPr>
                <w:noProof/>
                <w:webHidden/>
              </w:rPr>
              <w:tab/>
            </w:r>
            <w:r>
              <w:rPr>
                <w:noProof/>
                <w:webHidden/>
              </w:rPr>
              <w:fldChar w:fldCharType="begin"/>
            </w:r>
            <w:r>
              <w:rPr>
                <w:noProof/>
                <w:webHidden/>
              </w:rPr>
              <w:instrText xml:space="preserve"> PAGEREF _Toc107495734 \h </w:instrText>
            </w:r>
            <w:r>
              <w:rPr>
                <w:noProof/>
                <w:webHidden/>
              </w:rPr>
            </w:r>
            <w:r>
              <w:rPr>
                <w:noProof/>
                <w:webHidden/>
              </w:rPr>
              <w:fldChar w:fldCharType="separate"/>
            </w:r>
            <w:r>
              <w:rPr>
                <w:noProof/>
                <w:webHidden/>
              </w:rPr>
              <w:t>19</w:t>
            </w:r>
            <w:r>
              <w:rPr>
                <w:noProof/>
                <w:webHidden/>
              </w:rPr>
              <w:fldChar w:fldCharType="end"/>
            </w:r>
          </w:hyperlink>
        </w:p>
        <w:p w14:paraId="5EB7FAE4" w14:textId="74B00172" w:rsidR="00D26D46" w:rsidRDefault="00D26D46">
          <w:pPr>
            <w:pStyle w:val="TOC3"/>
            <w:tabs>
              <w:tab w:val="left" w:pos="1320"/>
              <w:tab w:val="right" w:leader="dot" w:pos="9062"/>
            </w:tabs>
            <w:rPr>
              <w:noProof/>
              <w:lang w:eastAsia="en-GB"/>
            </w:rPr>
          </w:pPr>
          <w:hyperlink w:anchor="_Toc107495735" w:history="1">
            <w:r w:rsidRPr="00924843">
              <w:rPr>
                <w:rStyle w:val="Hyperlink"/>
                <w:noProof/>
              </w:rPr>
              <w:t>C-5-1</w:t>
            </w:r>
            <w:r>
              <w:rPr>
                <w:noProof/>
                <w:lang w:eastAsia="en-GB"/>
              </w:rPr>
              <w:tab/>
            </w:r>
            <w:r w:rsidRPr="00924843">
              <w:rPr>
                <w:rStyle w:val="Hyperlink"/>
                <w:noProof/>
              </w:rPr>
              <w:t>Overview</w:t>
            </w:r>
            <w:r>
              <w:rPr>
                <w:noProof/>
                <w:webHidden/>
              </w:rPr>
              <w:tab/>
            </w:r>
            <w:r>
              <w:rPr>
                <w:noProof/>
                <w:webHidden/>
              </w:rPr>
              <w:fldChar w:fldCharType="begin"/>
            </w:r>
            <w:r>
              <w:rPr>
                <w:noProof/>
                <w:webHidden/>
              </w:rPr>
              <w:instrText xml:space="preserve"> PAGEREF _Toc107495735 \h </w:instrText>
            </w:r>
            <w:r>
              <w:rPr>
                <w:noProof/>
                <w:webHidden/>
              </w:rPr>
            </w:r>
            <w:r>
              <w:rPr>
                <w:noProof/>
                <w:webHidden/>
              </w:rPr>
              <w:fldChar w:fldCharType="separate"/>
            </w:r>
            <w:r>
              <w:rPr>
                <w:noProof/>
                <w:webHidden/>
              </w:rPr>
              <w:t>19</w:t>
            </w:r>
            <w:r>
              <w:rPr>
                <w:noProof/>
                <w:webHidden/>
              </w:rPr>
              <w:fldChar w:fldCharType="end"/>
            </w:r>
          </w:hyperlink>
        </w:p>
        <w:p w14:paraId="5320D3AB" w14:textId="2A4FC3E5" w:rsidR="00D26D46" w:rsidRDefault="00D26D46">
          <w:pPr>
            <w:pStyle w:val="TOC3"/>
            <w:tabs>
              <w:tab w:val="left" w:pos="1320"/>
              <w:tab w:val="right" w:leader="dot" w:pos="9062"/>
            </w:tabs>
            <w:rPr>
              <w:noProof/>
              <w:lang w:eastAsia="en-GB"/>
            </w:rPr>
          </w:pPr>
          <w:hyperlink w:anchor="_Toc107495736" w:history="1">
            <w:r w:rsidRPr="00924843">
              <w:rPr>
                <w:rStyle w:val="Hyperlink"/>
                <w:noProof/>
              </w:rPr>
              <w:t>C-5-2</w:t>
            </w:r>
            <w:r>
              <w:rPr>
                <w:noProof/>
                <w:lang w:eastAsia="en-GB"/>
              </w:rPr>
              <w:tab/>
            </w:r>
            <w:r w:rsidRPr="00924843">
              <w:rPr>
                <w:rStyle w:val="Hyperlink"/>
                <w:noProof/>
              </w:rPr>
              <w:t>Accounting data exchange between TSOs in the SA CE</w:t>
            </w:r>
            <w:r>
              <w:rPr>
                <w:noProof/>
                <w:webHidden/>
              </w:rPr>
              <w:tab/>
            </w:r>
            <w:r>
              <w:rPr>
                <w:noProof/>
                <w:webHidden/>
              </w:rPr>
              <w:fldChar w:fldCharType="begin"/>
            </w:r>
            <w:r>
              <w:rPr>
                <w:noProof/>
                <w:webHidden/>
              </w:rPr>
              <w:instrText xml:space="preserve"> PAGEREF _Toc107495736 \h </w:instrText>
            </w:r>
            <w:r>
              <w:rPr>
                <w:noProof/>
                <w:webHidden/>
              </w:rPr>
            </w:r>
            <w:r>
              <w:rPr>
                <w:noProof/>
                <w:webHidden/>
              </w:rPr>
              <w:fldChar w:fldCharType="separate"/>
            </w:r>
            <w:r>
              <w:rPr>
                <w:noProof/>
                <w:webHidden/>
              </w:rPr>
              <w:t>19</w:t>
            </w:r>
            <w:r>
              <w:rPr>
                <w:noProof/>
                <w:webHidden/>
              </w:rPr>
              <w:fldChar w:fldCharType="end"/>
            </w:r>
          </w:hyperlink>
        </w:p>
        <w:p w14:paraId="2D6534F8" w14:textId="386F019F" w:rsidR="00D26D46" w:rsidRDefault="00D26D46">
          <w:pPr>
            <w:pStyle w:val="TOC3"/>
            <w:tabs>
              <w:tab w:val="left" w:pos="1320"/>
              <w:tab w:val="right" w:leader="dot" w:pos="9062"/>
            </w:tabs>
            <w:rPr>
              <w:noProof/>
              <w:lang w:eastAsia="en-GB"/>
            </w:rPr>
          </w:pPr>
          <w:hyperlink w:anchor="_Toc107495737" w:history="1">
            <w:r w:rsidRPr="00924843">
              <w:rPr>
                <w:rStyle w:val="Hyperlink"/>
                <w:noProof/>
              </w:rPr>
              <w:t>C-5-3</w:t>
            </w:r>
            <w:r>
              <w:rPr>
                <w:noProof/>
                <w:lang w:eastAsia="en-GB"/>
              </w:rPr>
              <w:tab/>
            </w:r>
            <w:r w:rsidRPr="00924843">
              <w:rPr>
                <w:rStyle w:val="Hyperlink"/>
                <w:noProof/>
              </w:rPr>
              <w:t>Workflow of accounting process</w:t>
            </w:r>
            <w:r>
              <w:rPr>
                <w:noProof/>
                <w:webHidden/>
              </w:rPr>
              <w:tab/>
            </w:r>
            <w:r>
              <w:rPr>
                <w:noProof/>
                <w:webHidden/>
              </w:rPr>
              <w:fldChar w:fldCharType="begin"/>
            </w:r>
            <w:r>
              <w:rPr>
                <w:noProof/>
                <w:webHidden/>
              </w:rPr>
              <w:instrText xml:space="preserve"> PAGEREF _Toc107495737 \h </w:instrText>
            </w:r>
            <w:r>
              <w:rPr>
                <w:noProof/>
                <w:webHidden/>
              </w:rPr>
            </w:r>
            <w:r>
              <w:rPr>
                <w:noProof/>
                <w:webHidden/>
              </w:rPr>
              <w:fldChar w:fldCharType="separate"/>
            </w:r>
            <w:r>
              <w:rPr>
                <w:noProof/>
                <w:webHidden/>
              </w:rPr>
              <w:t>21</w:t>
            </w:r>
            <w:r>
              <w:rPr>
                <w:noProof/>
                <w:webHidden/>
              </w:rPr>
              <w:fldChar w:fldCharType="end"/>
            </w:r>
          </w:hyperlink>
        </w:p>
        <w:p w14:paraId="1EADCC83" w14:textId="36A9C44A" w:rsidR="00D26D46" w:rsidRDefault="00D26D46">
          <w:pPr>
            <w:pStyle w:val="TOC2"/>
            <w:rPr>
              <w:noProof/>
              <w:lang w:eastAsia="en-GB"/>
            </w:rPr>
          </w:pPr>
          <w:hyperlink w:anchor="_Toc107495738" w:history="1">
            <w:r w:rsidRPr="00924843">
              <w:rPr>
                <w:rStyle w:val="Hyperlink"/>
                <w:noProof/>
              </w:rPr>
              <w:t>C-6</w:t>
            </w:r>
            <w:r>
              <w:rPr>
                <w:noProof/>
                <w:lang w:eastAsia="en-GB"/>
              </w:rPr>
              <w:tab/>
            </w:r>
            <w:r w:rsidRPr="00924843">
              <w:rPr>
                <w:rStyle w:val="Hyperlink"/>
                <w:noProof/>
              </w:rPr>
              <w:t>Standards - Settlement process</w:t>
            </w:r>
            <w:r>
              <w:rPr>
                <w:noProof/>
                <w:webHidden/>
              </w:rPr>
              <w:tab/>
            </w:r>
            <w:r>
              <w:rPr>
                <w:noProof/>
                <w:webHidden/>
              </w:rPr>
              <w:fldChar w:fldCharType="begin"/>
            </w:r>
            <w:r>
              <w:rPr>
                <w:noProof/>
                <w:webHidden/>
              </w:rPr>
              <w:instrText xml:space="preserve"> PAGEREF _Toc107495738 \h </w:instrText>
            </w:r>
            <w:r>
              <w:rPr>
                <w:noProof/>
                <w:webHidden/>
              </w:rPr>
            </w:r>
            <w:r>
              <w:rPr>
                <w:noProof/>
                <w:webHidden/>
              </w:rPr>
              <w:fldChar w:fldCharType="separate"/>
            </w:r>
            <w:r>
              <w:rPr>
                <w:noProof/>
                <w:webHidden/>
              </w:rPr>
              <w:t>23</w:t>
            </w:r>
            <w:r>
              <w:rPr>
                <w:noProof/>
                <w:webHidden/>
              </w:rPr>
              <w:fldChar w:fldCharType="end"/>
            </w:r>
          </w:hyperlink>
        </w:p>
        <w:p w14:paraId="0C8B7CD5" w14:textId="0EC0421F" w:rsidR="00D26D46" w:rsidRDefault="00D26D46">
          <w:pPr>
            <w:pStyle w:val="TOC3"/>
            <w:tabs>
              <w:tab w:val="left" w:pos="1320"/>
              <w:tab w:val="right" w:leader="dot" w:pos="9062"/>
            </w:tabs>
            <w:rPr>
              <w:noProof/>
              <w:lang w:eastAsia="en-GB"/>
            </w:rPr>
          </w:pPr>
          <w:hyperlink w:anchor="_Toc107495739" w:history="1">
            <w:r w:rsidRPr="00924843">
              <w:rPr>
                <w:rStyle w:val="Hyperlink"/>
                <w:noProof/>
              </w:rPr>
              <w:t>C-6-1</w:t>
            </w:r>
            <w:r>
              <w:rPr>
                <w:noProof/>
                <w:lang w:eastAsia="en-GB"/>
              </w:rPr>
              <w:tab/>
            </w:r>
            <w:r w:rsidRPr="00924843">
              <w:rPr>
                <w:rStyle w:val="Hyperlink"/>
                <w:noProof/>
              </w:rPr>
              <w:t>Overview</w:t>
            </w:r>
            <w:r>
              <w:rPr>
                <w:noProof/>
                <w:webHidden/>
              </w:rPr>
              <w:tab/>
            </w:r>
            <w:r>
              <w:rPr>
                <w:noProof/>
                <w:webHidden/>
              </w:rPr>
              <w:fldChar w:fldCharType="begin"/>
            </w:r>
            <w:r>
              <w:rPr>
                <w:noProof/>
                <w:webHidden/>
              </w:rPr>
              <w:instrText xml:space="preserve"> PAGEREF _Toc107495739 \h </w:instrText>
            </w:r>
            <w:r>
              <w:rPr>
                <w:noProof/>
                <w:webHidden/>
              </w:rPr>
            </w:r>
            <w:r>
              <w:rPr>
                <w:noProof/>
                <w:webHidden/>
              </w:rPr>
              <w:fldChar w:fldCharType="separate"/>
            </w:r>
            <w:r>
              <w:rPr>
                <w:noProof/>
                <w:webHidden/>
              </w:rPr>
              <w:t>23</w:t>
            </w:r>
            <w:r>
              <w:rPr>
                <w:noProof/>
                <w:webHidden/>
              </w:rPr>
              <w:fldChar w:fldCharType="end"/>
            </w:r>
          </w:hyperlink>
        </w:p>
        <w:p w14:paraId="5E40B68B" w14:textId="727CD39A" w:rsidR="00D26D46" w:rsidRDefault="00D26D46">
          <w:pPr>
            <w:pStyle w:val="TOC3"/>
            <w:tabs>
              <w:tab w:val="left" w:pos="1320"/>
              <w:tab w:val="right" w:leader="dot" w:pos="9062"/>
            </w:tabs>
            <w:rPr>
              <w:noProof/>
              <w:lang w:eastAsia="en-GB"/>
            </w:rPr>
          </w:pPr>
          <w:hyperlink w:anchor="_Toc107495740" w:history="1">
            <w:r w:rsidRPr="00924843">
              <w:rPr>
                <w:rStyle w:val="Hyperlink"/>
                <w:noProof/>
              </w:rPr>
              <w:t>C-6-2</w:t>
            </w:r>
            <w:r>
              <w:rPr>
                <w:noProof/>
                <w:lang w:eastAsia="en-GB"/>
              </w:rPr>
              <w:tab/>
            </w:r>
            <w:r w:rsidRPr="00924843">
              <w:rPr>
                <w:rStyle w:val="Hyperlink"/>
                <w:noProof/>
              </w:rPr>
              <w:t>Workflow of settlement process</w:t>
            </w:r>
            <w:r>
              <w:rPr>
                <w:noProof/>
                <w:webHidden/>
              </w:rPr>
              <w:tab/>
            </w:r>
            <w:r>
              <w:rPr>
                <w:noProof/>
                <w:webHidden/>
              </w:rPr>
              <w:fldChar w:fldCharType="begin"/>
            </w:r>
            <w:r>
              <w:rPr>
                <w:noProof/>
                <w:webHidden/>
              </w:rPr>
              <w:instrText xml:space="preserve"> PAGEREF _Toc107495740 \h </w:instrText>
            </w:r>
            <w:r>
              <w:rPr>
                <w:noProof/>
                <w:webHidden/>
              </w:rPr>
            </w:r>
            <w:r>
              <w:rPr>
                <w:noProof/>
                <w:webHidden/>
              </w:rPr>
              <w:fldChar w:fldCharType="separate"/>
            </w:r>
            <w:r>
              <w:rPr>
                <w:noProof/>
                <w:webHidden/>
              </w:rPr>
              <w:t>23</w:t>
            </w:r>
            <w:r>
              <w:rPr>
                <w:noProof/>
                <w:webHidden/>
              </w:rPr>
              <w:fldChar w:fldCharType="end"/>
            </w:r>
          </w:hyperlink>
        </w:p>
        <w:p w14:paraId="73A7D10E" w14:textId="28A64CFA" w:rsidR="00D26D46" w:rsidRDefault="00D26D46">
          <w:pPr>
            <w:pStyle w:val="TOC3"/>
            <w:tabs>
              <w:tab w:val="left" w:pos="1320"/>
              <w:tab w:val="right" w:leader="dot" w:pos="9062"/>
            </w:tabs>
            <w:rPr>
              <w:noProof/>
              <w:lang w:eastAsia="en-GB"/>
            </w:rPr>
          </w:pPr>
          <w:hyperlink w:anchor="_Toc107495741" w:history="1">
            <w:r w:rsidRPr="00924843">
              <w:rPr>
                <w:rStyle w:val="Hyperlink"/>
                <w:noProof/>
              </w:rPr>
              <w:t>C-6-3</w:t>
            </w:r>
            <w:r>
              <w:rPr>
                <w:noProof/>
                <w:lang w:eastAsia="en-GB"/>
              </w:rPr>
              <w:tab/>
            </w:r>
            <w:r w:rsidRPr="00924843">
              <w:rPr>
                <w:rStyle w:val="Hyperlink"/>
                <w:noProof/>
              </w:rPr>
              <w:t>Extraordinary measures</w:t>
            </w:r>
            <w:r>
              <w:rPr>
                <w:noProof/>
                <w:webHidden/>
              </w:rPr>
              <w:tab/>
            </w:r>
            <w:r>
              <w:rPr>
                <w:noProof/>
                <w:webHidden/>
              </w:rPr>
              <w:fldChar w:fldCharType="begin"/>
            </w:r>
            <w:r>
              <w:rPr>
                <w:noProof/>
                <w:webHidden/>
              </w:rPr>
              <w:instrText xml:space="preserve"> PAGEREF _Toc107495741 \h </w:instrText>
            </w:r>
            <w:r>
              <w:rPr>
                <w:noProof/>
                <w:webHidden/>
              </w:rPr>
            </w:r>
            <w:r>
              <w:rPr>
                <w:noProof/>
                <w:webHidden/>
              </w:rPr>
              <w:fldChar w:fldCharType="separate"/>
            </w:r>
            <w:r>
              <w:rPr>
                <w:noProof/>
                <w:webHidden/>
              </w:rPr>
              <w:t>25</w:t>
            </w:r>
            <w:r>
              <w:rPr>
                <w:noProof/>
                <w:webHidden/>
              </w:rPr>
              <w:fldChar w:fldCharType="end"/>
            </w:r>
          </w:hyperlink>
        </w:p>
        <w:p w14:paraId="080BE8C5" w14:textId="39AFB04B" w:rsidR="00D26D46" w:rsidRDefault="00D26D46">
          <w:pPr>
            <w:pStyle w:val="TOC2"/>
            <w:rPr>
              <w:noProof/>
              <w:lang w:eastAsia="en-GB"/>
            </w:rPr>
          </w:pPr>
          <w:hyperlink w:anchor="_Toc107495742" w:history="1">
            <w:r w:rsidRPr="00924843">
              <w:rPr>
                <w:rStyle w:val="Hyperlink"/>
                <w:noProof/>
              </w:rPr>
              <w:t>C-7</w:t>
            </w:r>
            <w:r>
              <w:rPr>
                <w:noProof/>
                <w:lang w:eastAsia="en-GB"/>
              </w:rPr>
              <w:tab/>
            </w:r>
            <w:r w:rsidRPr="00924843">
              <w:rPr>
                <w:rStyle w:val="Hyperlink"/>
                <w:noProof/>
              </w:rPr>
              <w:t>Guidelines</w:t>
            </w:r>
            <w:r>
              <w:rPr>
                <w:noProof/>
                <w:webHidden/>
              </w:rPr>
              <w:tab/>
            </w:r>
            <w:r>
              <w:rPr>
                <w:noProof/>
                <w:webHidden/>
              </w:rPr>
              <w:fldChar w:fldCharType="begin"/>
            </w:r>
            <w:r>
              <w:rPr>
                <w:noProof/>
                <w:webHidden/>
              </w:rPr>
              <w:instrText xml:space="preserve"> PAGEREF _Toc107495742 \h </w:instrText>
            </w:r>
            <w:r>
              <w:rPr>
                <w:noProof/>
                <w:webHidden/>
              </w:rPr>
            </w:r>
            <w:r>
              <w:rPr>
                <w:noProof/>
                <w:webHidden/>
              </w:rPr>
              <w:fldChar w:fldCharType="separate"/>
            </w:r>
            <w:r>
              <w:rPr>
                <w:noProof/>
                <w:webHidden/>
              </w:rPr>
              <w:t>26</w:t>
            </w:r>
            <w:r>
              <w:rPr>
                <w:noProof/>
                <w:webHidden/>
              </w:rPr>
              <w:fldChar w:fldCharType="end"/>
            </w:r>
          </w:hyperlink>
        </w:p>
        <w:p w14:paraId="4BED8995" w14:textId="4C65190E" w:rsidR="00D26D46" w:rsidRDefault="00D26D46">
          <w:pPr>
            <w:pStyle w:val="TOC3"/>
            <w:tabs>
              <w:tab w:val="left" w:pos="1320"/>
              <w:tab w:val="right" w:leader="dot" w:pos="9062"/>
            </w:tabs>
            <w:rPr>
              <w:noProof/>
              <w:lang w:eastAsia="en-GB"/>
            </w:rPr>
          </w:pPr>
          <w:hyperlink w:anchor="_Toc107495743" w:history="1">
            <w:r w:rsidRPr="00924843">
              <w:rPr>
                <w:rStyle w:val="Hyperlink"/>
                <w:noProof/>
              </w:rPr>
              <w:t>C-7-1</w:t>
            </w:r>
            <w:r>
              <w:rPr>
                <w:noProof/>
                <w:lang w:eastAsia="en-GB"/>
              </w:rPr>
              <w:tab/>
            </w:r>
            <w:r w:rsidRPr="00924843">
              <w:rPr>
                <w:rStyle w:val="Hyperlink"/>
                <w:noProof/>
              </w:rPr>
              <w:t>Troubleshooting for the accounting process.</w:t>
            </w:r>
            <w:r>
              <w:rPr>
                <w:noProof/>
                <w:webHidden/>
              </w:rPr>
              <w:tab/>
            </w:r>
            <w:r>
              <w:rPr>
                <w:noProof/>
                <w:webHidden/>
              </w:rPr>
              <w:fldChar w:fldCharType="begin"/>
            </w:r>
            <w:r>
              <w:rPr>
                <w:noProof/>
                <w:webHidden/>
              </w:rPr>
              <w:instrText xml:space="preserve"> PAGEREF _Toc107495743 \h </w:instrText>
            </w:r>
            <w:r>
              <w:rPr>
                <w:noProof/>
                <w:webHidden/>
              </w:rPr>
            </w:r>
            <w:r>
              <w:rPr>
                <w:noProof/>
                <w:webHidden/>
              </w:rPr>
              <w:fldChar w:fldCharType="separate"/>
            </w:r>
            <w:r>
              <w:rPr>
                <w:noProof/>
                <w:webHidden/>
              </w:rPr>
              <w:t>26</w:t>
            </w:r>
            <w:r>
              <w:rPr>
                <w:noProof/>
                <w:webHidden/>
              </w:rPr>
              <w:fldChar w:fldCharType="end"/>
            </w:r>
          </w:hyperlink>
        </w:p>
        <w:p w14:paraId="72C405EC" w14:textId="1B7B2B6E" w:rsidR="00D26D46" w:rsidRDefault="00D26D46">
          <w:pPr>
            <w:pStyle w:val="TOC3"/>
            <w:tabs>
              <w:tab w:val="left" w:pos="1320"/>
              <w:tab w:val="right" w:leader="dot" w:pos="9062"/>
            </w:tabs>
            <w:rPr>
              <w:noProof/>
              <w:lang w:eastAsia="en-GB"/>
            </w:rPr>
          </w:pPr>
          <w:hyperlink w:anchor="_Toc107495744" w:history="1">
            <w:r w:rsidRPr="00924843">
              <w:rPr>
                <w:rStyle w:val="Hyperlink"/>
                <w:noProof/>
              </w:rPr>
              <w:t>C-7-2</w:t>
            </w:r>
            <w:r>
              <w:rPr>
                <w:noProof/>
                <w:lang w:eastAsia="en-GB"/>
              </w:rPr>
              <w:tab/>
            </w:r>
            <w:r w:rsidRPr="00924843">
              <w:rPr>
                <w:rStyle w:val="Hyperlink"/>
                <w:noProof/>
              </w:rPr>
              <w:t>Timeframe for changing the accounting data</w:t>
            </w:r>
            <w:r>
              <w:rPr>
                <w:noProof/>
                <w:webHidden/>
              </w:rPr>
              <w:tab/>
            </w:r>
            <w:r>
              <w:rPr>
                <w:noProof/>
                <w:webHidden/>
              </w:rPr>
              <w:fldChar w:fldCharType="begin"/>
            </w:r>
            <w:r>
              <w:rPr>
                <w:noProof/>
                <w:webHidden/>
              </w:rPr>
              <w:instrText xml:space="preserve"> PAGEREF _Toc107495744 \h </w:instrText>
            </w:r>
            <w:r>
              <w:rPr>
                <w:noProof/>
                <w:webHidden/>
              </w:rPr>
            </w:r>
            <w:r>
              <w:rPr>
                <w:noProof/>
                <w:webHidden/>
              </w:rPr>
              <w:fldChar w:fldCharType="separate"/>
            </w:r>
            <w:r>
              <w:rPr>
                <w:noProof/>
                <w:webHidden/>
              </w:rPr>
              <w:t>27</w:t>
            </w:r>
            <w:r>
              <w:rPr>
                <w:noProof/>
                <w:webHidden/>
              </w:rPr>
              <w:fldChar w:fldCharType="end"/>
            </w:r>
          </w:hyperlink>
        </w:p>
        <w:p w14:paraId="6524250B" w14:textId="2047D4EF" w:rsidR="00D26D46" w:rsidRDefault="00D26D46">
          <w:pPr>
            <w:pStyle w:val="TOC3"/>
            <w:tabs>
              <w:tab w:val="left" w:pos="1320"/>
              <w:tab w:val="right" w:leader="dot" w:pos="9062"/>
            </w:tabs>
            <w:rPr>
              <w:noProof/>
              <w:lang w:eastAsia="en-GB"/>
            </w:rPr>
          </w:pPr>
          <w:hyperlink w:anchor="_Toc107495745" w:history="1">
            <w:r w:rsidRPr="00924843">
              <w:rPr>
                <w:rStyle w:val="Hyperlink"/>
                <w:noProof/>
              </w:rPr>
              <w:t>C-7-3</w:t>
            </w:r>
            <w:r>
              <w:rPr>
                <w:noProof/>
                <w:lang w:eastAsia="en-GB"/>
              </w:rPr>
              <w:tab/>
            </w:r>
            <w:r w:rsidRPr="00924843">
              <w:rPr>
                <w:rStyle w:val="Hyperlink"/>
                <w:noProof/>
              </w:rPr>
              <w:t>Timeframe for changing the verified ANES</w:t>
            </w:r>
            <w:r>
              <w:rPr>
                <w:noProof/>
                <w:webHidden/>
              </w:rPr>
              <w:tab/>
            </w:r>
            <w:r>
              <w:rPr>
                <w:noProof/>
                <w:webHidden/>
              </w:rPr>
              <w:fldChar w:fldCharType="begin"/>
            </w:r>
            <w:r>
              <w:rPr>
                <w:noProof/>
                <w:webHidden/>
              </w:rPr>
              <w:instrText xml:space="preserve"> PAGEREF _Toc107495745 \h </w:instrText>
            </w:r>
            <w:r>
              <w:rPr>
                <w:noProof/>
                <w:webHidden/>
              </w:rPr>
            </w:r>
            <w:r>
              <w:rPr>
                <w:noProof/>
                <w:webHidden/>
              </w:rPr>
              <w:fldChar w:fldCharType="separate"/>
            </w:r>
            <w:r>
              <w:rPr>
                <w:noProof/>
                <w:webHidden/>
              </w:rPr>
              <w:t>27</w:t>
            </w:r>
            <w:r>
              <w:rPr>
                <w:noProof/>
                <w:webHidden/>
              </w:rPr>
              <w:fldChar w:fldCharType="end"/>
            </w:r>
          </w:hyperlink>
        </w:p>
        <w:p w14:paraId="36AE1002" w14:textId="3ACBE245" w:rsidR="00D26D46" w:rsidRDefault="00D26D46">
          <w:pPr>
            <w:pStyle w:val="TOC3"/>
            <w:tabs>
              <w:tab w:val="left" w:pos="1320"/>
              <w:tab w:val="right" w:leader="dot" w:pos="9062"/>
            </w:tabs>
            <w:rPr>
              <w:noProof/>
              <w:lang w:eastAsia="en-GB"/>
            </w:rPr>
          </w:pPr>
          <w:hyperlink w:anchor="_Toc107495746" w:history="1">
            <w:r w:rsidRPr="00924843">
              <w:rPr>
                <w:rStyle w:val="Hyperlink"/>
                <w:noProof/>
              </w:rPr>
              <w:t>C-7-4</w:t>
            </w:r>
            <w:r>
              <w:rPr>
                <w:noProof/>
                <w:lang w:eastAsia="en-GB"/>
              </w:rPr>
              <w:tab/>
            </w:r>
            <w:r w:rsidRPr="00924843">
              <w:rPr>
                <w:rStyle w:val="Hyperlink"/>
                <w:noProof/>
              </w:rPr>
              <w:t>Timeframe for changing other inputs</w:t>
            </w:r>
            <w:r>
              <w:rPr>
                <w:noProof/>
                <w:webHidden/>
              </w:rPr>
              <w:tab/>
            </w:r>
            <w:r>
              <w:rPr>
                <w:noProof/>
                <w:webHidden/>
              </w:rPr>
              <w:fldChar w:fldCharType="begin"/>
            </w:r>
            <w:r>
              <w:rPr>
                <w:noProof/>
                <w:webHidden/>
              </w:rPr>
              <w:instrText xml:space="preserve"> PAGEREF _Toc107495746 \h </w:instrText>
            </w:r>
            <w:r>
              <w:rPr>
                <w:noProof/>
                <w:webHidden/>
              </w:rPr>
            </w:r>
            <w:r>
              <w:rPr>
                <w:noProof/>
                <w:webHidden/>
              </w:rPr>
              <w:fldChar w:fldCharType="separate"/>
            </w:r>
            <w:r>
              <w:rPr>
                <w:noProof/>
                <w:webHidden/>
              </w:rPr>
              <w:t>27</w:t>
            </w:r>
            <w:r>
              <w:rPr>
                <w:noProof/>
                <w:webHidden/>
              </w:rPr>
              <w:fldChar w:fldCharType="end"/>
            </w:r>
          </w:hyperlink>
        </w:p>
        <w:p w14:paraId="4EA8DD9D" w14:textId="0CF70372" w:rsidR="00D26D46" w:rsidRDefault="00D26D46">
          <w:pPr>
            <w:pStyle w:val="TOC2"/>
            <w:rPr>
              <w:noProof/>
              <w:lang w:eastAsia="en-GB"/>
            </w:rPr>
          </w:pPr>
          <w:hyperlink w:anchor="_Toc107495747" w:history="1">
            <w:r w:rsidRPr="00924843">
              <w:rPr>
                <w:rStyle w:val="Hyperlink"/>
                <w:noProof/>
              </w:rPr>
              <w:t>C-8</w:t>
            </w:r>
            <w:r>
              <w:rPr>
                <w:noProof/>
                <w:lang w:eastAsia="en-GB"/>
              </w:rPr>
              <w:tab/>
            </w:r>
            <w:r w:rsidRPr="00924843">
              <w:rPr>
                <w:rStyle w:val="Hyperlink"/>
                <w:noProof/>
              </w:rPr>
              <w:t>Entities</w:t>
            </w:r>
            <w:r>
              <w:rPr>
                <w:noProof/>
                <w:webHidden/>
              </w:rPr>
              <w:tab/>
            </w:r>
            <w:r>
              <w:rPr>
                <w:noProof/>
                <w:webHidden/>
              </w:rPr>
              <w:fldChar w:fldCharType="begin"/>
            </w:r>
            <w:r>
              <w:rPr>
                <w:noProof/>
                <w:webHidden/>
              </w:rPr>
              <w:instrText xml:space="preserve"> PAGEREF _Toc107495747 \h </w:instrText>
            </w:r>
            <w:r>
              <w:rPr>
                <w:noProof/>
                <w:webHidden/>
              </w:rPr>
            </w:r>
            <w:r>
              <w:rPr>
                <w:noProof/>
                <w:webHidden/>
              </w:rPr>
              <w:fldChar w:fldCharType="separate"/>
            </w:r>
            <w:r>
              <w:rPr>
                <w:noProof/>
                <w:webHidden/>
              </w:rPr>
              <w:t>28</w:t>
            </w:r>
            <w:r>
              <w:rPr>
                <w:noProof/>
                <w:webHidden/>
              </w:rPr>
              <w:fldChar w:fldCharType="end"/>
            </w:r>
          </w:hyperlink>
        </w:p>
        <w:p w14:paraId="3F4AB56A" w14:textId="4C124A3C" w:rsidR="00D26D46" w:rsidRDefault="00D26D46">
          <w:pPr>
            <w:pStyle w:val="TOC2"/>
            <w:rPr>
              <w:noProof/>
              <w:lang w:eastAsia="en-GB"/>
            </w:rPr>
          </w:pPr>
          <w:hyperlink w:anchor="_Toc107495748" w:history="1">
            <w:r w:rsidRPr="00924843">
              <w:rPr>
                <w:rStyle w:val="Hyperlink"/>
                <w:noProof/>
              </w:rPr>
              <w:t>C-9</w:t>
            </w:r>
            <w:r>
              <w:rPr>
                <w:noProof/>
                <w:lang w:eastAsia="en-GB"/>
              </w:rPr>
              <w:tab/>
            </w:r>
            <w:r w:rsidRPr="00924843">
              <w:rPr>
                <w:rStyle w:val="Hyperlink"/>
                <w:noProof/>
              </w:rPr>
              <w:t>Remuneration</w:t>
            </w:r>
            <w:r>
              <w:rPr>
                <w:noProof/>
                <w:webHidden/>
              </w:rPr>
              <w:tab/>
            </w:r>
            <w:r>
              <w:rPr>
                <w:noProof/>
                <w:webHidden/>
              </w:rPr>
              <w:fldChar w:fldCharType="begin"/>
            </w:r>
            <w:r>
              <w:rPr>
                <w:noProof/>
                <w:webHidden/>
              </w:rPr>
              <w:instrText xml:space="preserve"> PAGEREF _Toc107495748 \h </w:instrText>
            </w:r>
            <w:r>
              <w:rPr>
                <w:noProof/>
                <w:webHidden/>
              </w:rPr>
            </w:r>
            <w:r>
              <w:rPr>
                <w:noProof/>
                <w:webHidden/>
              </w:rPr>
              <w:fldChar w:fldCharType="separate"/>
            </w:r>
            <w:r>
              <w:rPr>
                <w:noProof/>
                <w:webHidden/>
              </w:rPr>
              <w:t>28</w:t>
            </w:r>
            <w:r>
              <w:rPr>
                <w:noProof/>
                <w:webHidden/>
              </w:rPr>
              <w:fldChar w:fldCharType="end"/>
            </w:r>
          </w:hyperlink>
        </w:p>
        <w:p w14:paraId="301E7422" w14:textId="0F17DC8E" w:rsidR="00D26D46" w:rsidRDefault="00D26D46">
          <w:pPr>
            <w:pStyle w:val="TOC2"/>
            <w:rPr>
              <w:noProof/>
              <w:lang w:eastAsia="en-GB"/>
            </w:rPr>
          </w:pPr>
          <w:hyperlink w:anchor="_Toc107495749" w:history="1">
            <w:r w:rsidRPr="00924843">
              <w:rPr>
                <w:rStyle w:val="Hyperlink"/>
                <w:noProof/>
              </w:rPr>
              <w:t>C-10</w:t>
            </w:r>
            <w:r>
              <w:rPr>
                <w:noProof/>
                <w:lang w:eastAsia="en-GB"/>
              </w:rPr>
              <w:tab/>
            </w:r>
            <w:r w:rsidRPr="00924843">
              <w:rPr>
                <w:rStyle w:val="Hyperlink"/>
                <w:noProof/>
              </w:rPr>
              <w:t>Transitory provision</w:t>
            </w:r>
            <w:r>
              <w:rPr>
                <w:noProof/>
                <w:webHidden/>
              </w:rPr>
              <w:tab/>
            </w:r>
            <w:r>
              <w:rPr>
                <w:noProof/>
                <w:webHidden/>
              </w:rPr>
              <w:fldChar w:fldCharType="begin"/>
            </w:r>
            <w:r>
              <w:rPr>
                <w:noProof/>
                <w:webHidden/>
              </w:rPr>
              <w:instrText xml:space="preserve"> PAGEREF _Toc107495749 \h </w:instrText>
            </w:r>
            <w:r>
              <w:rPr>
                <w:noProof/>
                <w:webHidden/>
              </w:rPr>
            </w:r>
            <w:r>
              <w:rPr>
                <w:noProof/>
                <w:webHidden/>
              </w:rPr>
              <w:fldChar w:fldCharType="separate"/>
            </w:r>
            <w:r>
              <w:rPr>
                <w:noProof/>
                <w:webHidden/>
              </w:rPr>
              <w:t>33</w:t>
            </w:r>
            <w:r>
              <w:rPr>
                <w:noProof/>
                <w:webHidden/>
              </w:rPr>
              <w:fldChar w:fldCharType="end"/>
            </w:r>
          </w:hyperlink>
        </w:p>
        <w:p w14:paraId="1B5A00EA" w14:textId="0493C13A" w:rsidR="00D26D46" w:rsidRDefault="00D26D46">
          <w:pPr>
            <w:pStyle w:val="TOC2"/>
            <w:rPr>
              <w:noProof/>
              <w:lang w:eastAsia="en-GB"/>
            </w:rPr>
          </w:pPr>
          <w:hyperlink w:anchor="_Toc107495750" w:history="1">
            <w:r w:rsidRPr="00924843">
              <w:rPr>
                <w:rStyle w:val="Hyperlink"/>
                <w:noProof/>
              </w:rPr>
              <w:t>C-11</w:t>
            </w:r>
            <w:r>
              <w:rPr>
                <w:noProof/>
                <w:lang w:eastAsia="en-GB"/>
              </w:rPr>
              <w:tab/>
            </w:r>
            <w:r w:rsidRPr="00924843">
              <w:rPr>
                <w:rStyle w:val="Hyperlink"/>
                <w:noProof/>
              </w:rPr>
              <w:t>Termination by Coordination Centres</w:t>
            </w:r>
            <w:r>
              <w:rPr>
                <w:noProof/>
                <w:webHidden/>
              </w:rPr>
              <w:tab/>
            </w:r>
            <w:r>
              <w:rPr>
                <w:noProof/>
                <w:webHidden/>
              </w:rPr>
              <w:fldChar w:fldCharType="begin"/>
            </w:r>
            <w:r>
              <w:rPr>
                <w:noProof/>
                <w:webHidden/>
              </w:rPr>
              <w:instrText xml:space="preserve"> PAGEREF _Toc107495750 \h </w:instrText>
            </w:r>
            <w:r>
              <w:rPr>
                <w:noProof/>
                <w:webHidden/>
              </w:rPr>
            </w:r>
            <w:r>
              <w:rPr>
                <w:noProof/>
                <w:webHidden/>
              </w:rPr>
              <w:fldChar w:fldCharType="separate"/>
            </w:r>
            <w:r>
              <w:rPr>
                <w:noProof/>
                <w:webHidden/>
              </w:rPr>
              <w:t>33</w:t>
            </w:r>
            <w:r>
              <w:rPr>
                <w:noProof/>
                <w:webHidden/>
              </w:rPr>
              <w:fldChar w:fldCharType="end"/>
            </w:r>
          </w:hyperlink>
        </w:p>
        <w:p w14:paraId="66E1CC33" w14:textId="12E12132" w:rsidR="00D26D46" w:rsidRDefault="00D26D46">
          <w:pPr>
            <w:pStyle w:val="TOC2"/>
            <w:rPr>
              <w:noProof/>
              <w:lang w:eastAsia="en-GB"/>
            </w:rPr>
          </w:pPr>
          <w:hyperlink w:anchor="_Toc107495751" w:history="1">
            <w:r w:rsidRPr="00924843">
              <w:rPr>
                <w:rStyle w:val="Hyperlink"/>
                <w:noProof/>
              </w:rPr>
              <w:t>C-12</w:t>
            </w:r>
            <w:r>
              <w:rPr>
                <w:noProof/>
                <w:lang w:eastAsia="en-GB"/>
              </w:rPr>
              <w:tab/>
            </w:r>
            <w:r w:rsidRPr="00924843">
              <w:rPr>
                <w:rStyle w:val="Hyperlink"/>
                <w:noProof/>
              </w:rPr>
              <w:t>Supplements</w:t>
            </w:r>
            <w:r>
              <w:rPr>
                <w:noProof/>
                <w:webHidden/>
              </w:rPr>
              <w:tab/>
            </w:r>
            <w:r>
              <w:rPr>
                <w:noProof/>
                <w:webHidden/>
              </w:rPr>
              <w:fldChar w:fldCharType="begin"/>
            </w:r>
            <w:r>
              <w:rPr>
                <w:noProof/>
                <w:webHidden/>
              </w:rPr>
              <w:instrText xml:space="preserve"> PAGEREF _Toc107495751 \h </w:instrText>
            </w:r>
            <w:r>
              <w:rPr>
                <w:noProof/>
                <w:webHidden/>
              </w:rPr>
            </w:r>
            <w:r>
              <w:rPr>
                <w:noProof/>
                <w:webHidden/>
              </w:rPr>
              <w:fldChar w:fldCharType="separate"/>
            </w:r>
            <w:r>
              <w:rPr>
                <w:noProof/>
                <w:webHidden/>
              </w:rPr>
              <w:t>34</w:t>
            </w:r>
            <w:r>
              <w:rPr>
                <w:noProof/>
                <w:webHidden/>
              </w:rPr>
              <w:fldChar w:fldCharType="end"/>
            </w:r>
          </w:hyperlink>
        </w:p>
        <w:p w14:paraId="7F63AD65" w14:textId="2D0A6BCA" w:rsidR="00D26D46" w:rsidRDefault="00D26D46">
          <w:pPr>
            <w:pStyle w:val="TOC3"/>
            <w:tabs>
              <w:tab w:val="left" w:pos="1320"/>
              <w:tab w:val="right" w:leader="dot" w:pos="9062"/>
            </w:tabs>
            <w:rPr>
              <w:noProof/>
              <w:lang w:eastAsia="en-GB"/>
            </w:rPr>
          </w:pPr>
          <w:hyperlink w:anchor="_Toc107495752" w:history="1">
            <w:r w:rsidRPr="00924843">
              <w:rPr>
                <w:rStyle w:val="Hyperlink"/>
                <w:noProof/>
              </w:rPr>
              <w:t>C-12-1</w:t>
            </w:r>
            <w:r>
              <w:rPr>
                <w:noProof/>
                <w:lang w:eastAsia="en-GB"/>
              </w:rPr>
              <w:tab/>
            </w:r>
            <w:r w:rsidRPr="00924843">
              <w:rPr>
                <w:rStyle w:val="Hyperlink"/>
                <w:noProof/>
              </w:rPr>
              <w:t>Equation terms</w:t>
            </w:r>
            <w:r>
              <w:rPr>
                <w:noProof/>
                <w:webHidden/>
              </w:rPr>
              <w:tab/>
            </w:r>
            <w:r>
              <w:rPr>
                <w:noProof/>
                <w:webHidden/>
              </w:rPr>
              <w:fldChar w:fldCharType="begin"/>
            </w:r>
            <w:r>
              <w:rPr>
                <w:noProof/>
                <w:webHidden/>
              </w:rPr>
              <w:instrText xml:space="preserve"> PAGEREF _Toc107495752 \h </w:instrText>
            </w:r>
            <w:r>
              <w:rPr>
                <w:noProof/>
                <w:webHidden/>
              </w:rPr>
            </w:r>
            <w:r>
              <w:rPr>
                <w:noProof/>
                <w:webHidden/>
              </w:rPr>
              <w:fldChar w:fldCharType="separate"/>
            </w:r>
            <w:r>
              <w:rPr>
                <w:noProof/>
                <w:webHidden/>
              </w:rPr>
              <w:t>34</w:t>
            </w:r>
            <w:r>
              <w:rPr>
                <w:noProof/>
                <w:webHidden/>
              </w:rPr>
              <w:fldChar w:fldCharType="end"/>
            </w:r>
          </w:hyperlink>
        </w:p>
        <w:p w14:paraId="2DFFF8F9" w14:textId="71AD8D68" w:rsidR="00D26D46" w:rsidRDefault="00D26D46">
          <w:pPr>
            <w:pStyle w:val="TOC3"/>
            <w:tabs>
              <w:tab w:val="left" w:pos="1320"/>
              <w:tab w:val="right" w:leader="dot" w:pos="9062"/>
            </w:tabs>
            <w:rPr>
              <w:noProof/>
              <w:lang w:eastAsia="en-GB"/>
            </w:rPr>
          </w:pPr>
          <w:hyperlink w:anchor="_Toc107495753" w:history="1">
            <w:r w:rsidRPr="00924843">
              <w:rPr>
                <w:rStyle w:val="Hyperlink"/>
                <w:noProof/>
              </w:rPr>
              <w:t>C-12-2</w:t>
            </w:r>
            <w:r>
              <w:rPr>
                <w:noProof/>
                <w:lang w:eastAsia="en-GB"/>
              </w:rPr>
              <w:tab/>
            </w:r>
            <w:r w:rsidRPr="00924843">
              <w:rPr>
                <w:rStyle w:val="Hyperlink"/>
                <w:noProof/>
              </w:rPr>
              <w:t>Timetables for daily accounting and settlement process</w:t>
            </w:r>
            <w:r>
              <w:rPr>
                <w:noProof/>
                <w:webHidden/>
              </w:rPr>
              <w:tab/>
            </w:r>
            <w:r>
              <w:rPr>
                <w:noProof/>
                <w:webHidden/>
              </w:rPr>
              <w:fldChar w:fldCharType="begin"/>
            </w:r>
            <w:r>
              <w:rPr>
                <w:noProof/>
                <w:webHidden/>
              </w:rPr>
              <w:instrText xml:space="preserve"> PAGEREF _Toc107495753 \h </w:instrText>
            </w:r>
            <w:r>
              <w:rPr>
                <w:noProof/>
                <w:webHidden/>
              </w:rPr>
            </w:r>
            <w:r>
              <w:rPr>
                <w:noProof/>
                <w:webHidden/>
              </w:rPr>
              <w:fldChar w:fldCharType="separate"/>
            </w:r>
            <w:r>
              <w:rPr>
                <w:noProof/>
                <w:webHidden/>
              </w:rPr>
              <w:t>34</w:t>
            </w:r>
            <w:r>
              <w:rPr>
                <w:noProof/>
                <w:webHidden/>
              </w:rPr>
              <w:fldChar w:fldCharType="end"/>
            </w:r>
          </w:hyperlink>
        </w:p>
        <w:p w14:paraId="4FFF36E8" w14:textId="0761FA67" w:rsidR="00D26D46" w:rsidRDefault="00D26D46">
          <w:pPr>
            <w:pStyle w:val="TOC3"/>
            <w:tabs>
              <w:tab w:val="left" w:pos="1320"/>
              <w:tab w:val="right" w:leader="dot" w:pos="9062"/>
            </w:tabs>
            <w:rPr>
              <w:noProof/>
              <w:lang w:eastAsia="en-GB"/>
            </w:rPr>
          </w:pPr>
          <w:hyperlink w:anchor="_Toc107495754" w:history="1">
            <w:r w:rsidRPr="00924843">
              <w:rPr>
                <w:rStyle w:val="Hyperlink"/>
                <w:noProof/>
              </w:rPr>
              <w:t>C-12-3</w:t>
            </w:r>
            <w:r>
              <w:rPr>
                <w:noProof/>
                <w:lang w:eastAsia="en-GB"/>
              </w:rPr>
              <w:tab/>
            </w:r>
            <w:r w:rsidRPr="00924843">
              <w:rPr>
                <w:rStyle w:val="Hyperlink"/>
                <w:noProof/>
              </w:rPr>
              <w:t>Registration form for Accounting Process including Tie-Lines</w:t>
            </w:r>
            <w:r>
              <w:rPr>
                <w:noProof/>
                <w:webHidden/>
              </w:rPr>
              <w:tab/>
            </w:r>
            <w:r>
              <w:rPr>
                <w:noProof/>
                <w:webHidden/>
              </w:rPr>
              <w:fldChar w:fldCharType="begin"/>
            </w:r>
            <w:r>
              <w:rPr>
                <w:noProof/>
                <w:webHidden/>
              </w:rPr>
              <w:instrText xml:space="preserve"> PAGEREF _Toc107495754 \h </w:instrText>
            </w:r>
            <w:r>
              <w:rPr>
                <w:noProof/>
                <w:webHidden/>
              </w:rPr>
            </w:r>
            <w:r>
              <w:rPr>
                <w:noProof/>
                <w:webHidden/>
              </w:rPr>
              <w:fldChar w:fldCharType="separate"/>
            </w:r>
            <w:r>
              <w:rPr>
                <w:noProof/>
                <w:webHidden/>
              </w:rPr>
              <w:t>36</w:t>
            </w:r>
            <w:r>
              <w:rPr>
                <w:noProof/>
                <w:webHidden/>
              </w:rPr>
              <w:fldChar w:fldCharType="end"/>
            </w:r>
          </w:hyperlink>
        </w:p>
        <w:p w14:paraId="0CEA42F1" w14:textId="7290C69A" w:rsidR="00D26D46" w:rsidRDefault="00D26D46">
          <w:pPr>
            <w:pStyle w:val="TOC3"/>
            <w:tabs>
              <w:tab w:val="left" w:pos="1320"/>
              <w:tab w:val="right" w:leader="dot" w:pos="9062"/>
            </w:tabs>
            <w:rPr>
              <w:noProof/>
              <w:lang w:eastAsia="en-GB"/>
            </w:rPr>
          </w:pPr>
          <w:hyperlink w:anchor="_Toc107495755" w:history="1">
            <w:r w:rsidRPr="00924843">
              <w:rPr>
                <w:rStyle w:val="Hyperlink"/>
                <w:noProof/>
              </w:rPr>
              <w:t>C-12-4</w:t>
            </w:r>
            <w:r>
              <w:rPr>
                <w:noProof/>
                <w:lang w:eastAsia="en-GB"/>
              </w:rPr>
              <w:tab/>
            </w:r>
            <w:r w:rsidRPr="00924843">
              <w:rPr>
                <w:rStyle w:val="Hyperlink"/>
                <w:noProof/>
              </w:rPr>
              <w:t>List of LFC Blocks performing Accounting and Settlement Process on LFC Block level</w:t>
            </w:r>
            <w:r>
              <w:rPr>
                <w:noProof/>
                <w:webHidden/>
              </w:rPr>
              <w:tab/>
            </w:r>
            <w:r>
              <w:rPr>
                <w:noProof/>
                <w:webHidden/>
              </w:rPr>
              <w:fldChar w:fldCharType="begin"/>
            </w:r>
            <w:r>
              <w:rPr>
                <w:noProof/>
                <w:webHidden/>
              </w:rPr>
              <w:instrText xml:space="preserve"> PAGEREF _Toc107495755 \h </w:instrText>
            </w:r>
            <w:r>
              <w:rPr>
                <w:noProof/>
                <w:webHidden/>
              </w:rPr>
            </w:r>
            <w:r>
              <w:rPr>
                <w:noProof/>
                <w:webHidden/>
              </w:rPr>
              <w:fldChar w:fldCharType="separate"/>
            </w:r>
            <w:r>
              <w:rPr>
                <w:noProof/>
                <w:webHidden/>
              </w:rPr>
              <w:t>36</w:t>
            </w:r>
            <w:r>
              <w:rPr>
                <w:noProof/>
                <w:webHidden/>
              </w:rPr>
              <w:fldChar w:fldCharType="end"/>
            </w:r>
          </w:hyperlink>
        </w:p>
        <w:p w14:paraId="1216D72B" w14:textId="293DFCA3" w:rsidR="00D26D46" w:rsidRDefault="00D26D46">
          <w:pPr>
            <w:pStyle w:val="TOC2"/>
            <w:rPr>
              <w:noProof/>
              <w:lang w:eastAsia="en-GB"/>
            </w:rPr>
          </w:pPr>
          <w:hyperlink w:anchor="_Toc107495756" w:history="1">
            <w:r w:rsidRPr="00924843">
              <w:rPr>
                <w:rStyle w:val="Hyperlink"/>
                <w:noProof/>
              </w:rPr>
              <w:t>C-13</w:t>
            </w:r>
            <w:r>
              <w:rPr>
                <w:noProof/>
                <w:lang w:eastAsia="en-GB"/>
              </w:rPr>
              <w:tab/>
            </w:r>
            <w:r w:rsidRPr="00924843">
              <w:rPr>
                <w:rStyle w:val="Hyperlink"/>
                <w:noProof/>
              </w:rPr>
              <w:t>The specific regulations with regard to a withholding tax due in Poland</w:t>
            </w:r>
            <w:r>
              <w:rPr>
                <w:noProof/>
                <w:webHidden/>
              </w:rPr>
              <w:tab/>
            </w:r>
            <w:r>
              <w:rPr>
                <w:noProof/>
                <w:webHidden/>
              </w:rPr>
              <w:fldChar w:fldCharType="begin"/>
            </w:r>
            <w:r>
              <w:rPr>
                <w:noProof/>
                <w:webHidden/>
              </w:rPr>
              <w:instrText xml:space="preserve"> PAGEREF _Toc107495756 \h </w:instrText>
            </w:r>
            <w:r>
              <w:rPr>
                <w:noProof/>
                <w:webHidden/>
              </w:rPr>
            </w:r>
            <w:r>
              <w:rPr>
                <w:noProof/>
                <w:webHidden/>
              </w:rPr>
              <w:fldChar w:fldCharType="separate"/>
            </w:r>
            <w:r>
              <w:rPr>
                <w:noProof/>
                <w:webHidden/>
              </w:rPr>
              <w:t>37</w:t>
            </w:r>
            <w:r>
              <w:rPr>
                <w:noProof/>
                <w:webHidden/>
              </w:rPr>
              <w:fldChar w:fldCharType="end"/>
            </w:r>
          </w:hyperlink>
        </w:p>
        <w:p w14:paraId="7121C3FC" w14:textId="656D1DA9" w:rsidR="00266397" w:rsidRPr="00C87891" w:rsidRDefault="00F45947">
          <w:r w:rsidRPr="00C87891">
            <w:rPr>
              <w:b/>
              <w:bCs/>
            </w:rPr>
            <w:fldChar w:fldCharType="end"/>
          </w:r>
        </w:p>
      </w:sdtContent>
    </w:sdt>
    <w:p w14:paraId="37689FFF" w14:textId="2315C87F" w:rsidR="00266397" w:rsidRDefault="00266397" w:rsidP="00E46554">
      <w:pPr>
        <w:pStyle w:val="Heading1"/>
        <w:numPr>
          <w:ilvl w:val="0"/>
          <w:numId w:val="0"/>
        </w:numPr>
        <w:tabs>
          <w:tab w:val="center" w:pos="4751"/>
        </w:tabs>
        <w:ind w:left="431"/>
      </w:pPr>
      <w:bookmarkStart w:id="0" w:name="_Toc107495693"/>
      <w:r w:rsidRPr="00C87891">
        <w:lastRenderedPageBreak/>
        <w:t>Introduction</w:t>
      </w:r>
      <w:bookmarkEnd w:id="0"/>
      <w:r w:rsidR="00C26E27">
        <w:tab/>
      </w:r>
    </w:p>
    <w:p w14:paraId="05829970" w14:textId="7DE67AE2" w:rsidR="005C117F" w:rsidRPr="00C87891" w:rsidRDefault="00E010E7" w:rsidP="00F6180B">
      <w:r w:rsidRPr="00C87891">
        <w:t xml:space="preserve">This document is </w:t>
      </w:r>
      <w:r w:rsidR="00C73E32" w:rsidRPr="00C87891">
        <w:t xml:space="preserve">part of </w:t>
      </w:r>
      <w:r w:rsidR="00302EAD" w:rsidRPr="00C87891">
        <w:t xml:space="preserve">the Synchronous Area </w:t>
      </w:r>
      <w:r w:rsidR="00A06ED4" w:rsidRPr="00C87891">
        <w:t>Framework</w:t>
      </w:r>
      <w:r w:rsidR="00302EAD" w:rsidRPr="00C87891">
        <w:t xml:space="preserve"> Agreement for the Synchronous Area</w:t>
      </w:r>
      <w:r w:rsidR="00C15FAF" w:rsidRPr="00C87891">
        <w:t xml:space="preserve"> CE </w:t>
      </w:r>
      <w:r w:rsidR="00A06ED4" w:rsidRPr="00C87891">
        <w:t>(SA CE)</w:t>
      </w:r>
      <w:r w:rsidR="006601A0" w:rsidRPr="00C87891">
        <w:t>.</w:t>
      </w:r>
    </w:p>
    <w:p w14:paraId="7E45198D" w14:textId="77777777" w:rsidR="00E97D5C" w:rsidRPr="00C87891" w:rsidRDefault="00E97D5C" w:rsidP="00F6180B">
      <w:pPr>
        <w:rPr>
          <w:rFonts w:ascii="Arial" w:hAnsi="Arial" w:cs="Arial"/>
        </w:rPr>
      </w:pPr>
      <w:r w:rsidRPr="00C87891">
        <w:rPr>
          <w:rFonts w:ascii="Arial" w:hAnsi="Arial" w:cs="Arial"/>
        </w:rPr>
        <w:t>All times mentioned in this document are related to CET respectively CEST</w:t>
      </w:r>
      <w:r w:rsidR="004A77A7">
        <w:rPr>
          <w:rFonts w:ascii="Arial" w:hAnsi="Arial" w:cs="Arial"/>
        </w:rPr>
        <w:t xml:space="preserve">. </w:t>
      </w:r>
      <w:r w:rsidR="00D06385" w:rsidRPr="00C87891">
        <w:rPr>
          <w:rFonts w:ascii="Arial" w:hAnsi="Arial" w:cs="Arial"/>
        </w:rPr>
        <w:t>Additional details</w:t>
      </w:r>
      <w:r w:rsidRPr="00C87891">
        <w:rPr>
          <w:rFonts w:ascii="Arial" w:hAnsi="Arial" w:cs="Arial"/>
        </w:rPr>
        <w:t xml:space="preserve"> of the </w:t>
      </w:r>
      <w:r w:rsidR="00D67CEF" w:rsidRPr="00C87891">
        <w:rPr>
          <w:rFonts w:ascii="Arial" w:hAnsi="Arial" w:cs="Arial"/>
        </w:rPr>
        <w:t>A</w:t>
      </w:r>
      <w:r w:rsidRPr="00C87891">
        <w:rPr>
          <w:rFonts w:ascii="Arial" w:hAnsi="Arial" w:cs="Arial"/>
        </w:rPr>
        <w:t xml:space="preserve">ccounting and </w:t>
      </w:r>
      <w:r w:rsidR="00D67CEF" w:rsidRPr="00C87891">
        <w:rPr>
          <w:rFonts w:ascii="Arial" w:hAnsi="Arial" w:cs="Arial"/>
        </w:rPr>
        <w:t>S</w:t>
      </w:r>
      <w:r w:rsidRPr="00C87891">
        <w:rPr>
          <w:rFonts w:ascii="Arial" w:hAnsi="Arial" w:cs="Arial"/>
        </w:rPr>
        <w:t xml:space="preserve">ettlement </w:t>
      </w:r>
      <w:r w:rsidR="00D67CEF" w:rsidRPr="00C87891">
        <w:rPr>
          <w:rFonts w:ascii="Arial" w:hAnsi="Arial" w:cs="Arial"/>
        </w:rPr>
        <w:t>P</w:t>
      </w:r>
      <w:r w:rsidRPr="00C87891">
        <w:rPr>
          <w:rFonts w:ascii="Arial" w:hAnsi="Arial" w:cs="Arial"/>
        </w:rPr>
        <w:t xml:space="preserve">rocess </w:t>
      </w:r>
      <w:r w:rsidR="00D06385" w:rsidRPr="00C87891">
        <w:rPr>
          <w:rFonts w:ascii="Arial" w:hAnsi="Arial" w:cs="Arial"/>
        </w:rPr>
        <w:t xml:space="preserve">are described </w:t>
      </w:r>
      <w:r w:rsidRPr="00C87891">
        <w:rPr>
          <w:rFonts w:ascii="Arial" w:hAnsi="Arial" w:cs="Arial"/>
        </w:rPr>
        <w:t>in the following documents:</w:t>
      </w:r>
    </w:p>
    <w:p w14:paraId="5FCC39C4" w14:textId="77777777" w:rsidR="00632FF6" w:rsidRDefault="00632FF6" w:rsidP="00F6180B">
      <w:pPr>
        <w:widowControl w:val="0"/>
        <w:tabs>
          <w:tab w:val="left" w:pos="-1152"/>
          <w:tab w:val="left" w:pos="-720"/>
          <w:tab w:val="left" w:pos="0"/>
          <w:tab w:val="left" w:pos="360"/>
        </w:tabs>
        <w:adjustRightInd w:val="0"/>
        <w:spacing w:after="60" w:line="360" w:lineRule="atLeast"/>
        <w:ind w:left="360"/>
        <w:textAlignment w:val="baseline"/>
        <w:rPr>
          <w:rFonts w:ascii="Arial" w:hAnsi="Arial" w:cs="Arial"/>
        </w:rPr>
      </w:pPr>
      <w:r>
        <w:rPr>
          <w:rFonts w:ascii="Arial" w:hAnsi="Arial" w:cs="Arial"/>
        </w:rPr>
        <w:t xml:space="preserve">ENTSO-E </w:t>
      </w:r>
      <w:r w:rsidRPr="00632FF6">
        <w:rPr>
          <w:rFonts w:ascii="Arial" w:hAnsi="Arial" w:cs="Arial"/>
        </w:rPr>
        <w:t>ACCOUNTING AND FINANCIAL SETTLEMENT OF KF, ACE AND RAMPING PERIOD (FSKAR) IMPLEMENTATION GUIDE</w:t>
      </w:r>
    </w:p>
    <w:p w14:paraId="51F637DF" w14:textId="77777777" w:rsidR="00A33B9B" w:rsidRPr="00C87891" w:rsidRDefault="00A33B9B" w:rsidP="00F6180B">
      <w:pPr>
        <w:widowControl w:val="0"/>
        <w:tabs>
          <w:tab w:val="left" w:pos="-1152"/>
          <w:tab w:val="left" w:pos="-720"/>
          <w:tab w:val="left" w:pos="0"/>
          <w:tab w:val="left" w:pos="360"/>
        </w:tabs>
        <w:adjustRightInd w:val="0"/>
        <w:spacing w:after="60" w:line="360" w:lineRule="atLeast"/>
        <w:ind w:left="360"/>
        <w:textAlignment w:val="baseline"/>
      </w:pPr>
    </w:p>
    <w:p w14:paraId="6DCA4518" w14:textId="77777777" w:rsidR="00E97D5C" w:rsidRPr="00C87891" w:rsidRDefault="00F82CA9" w:rsidP="00F6180B">
      <w:r>
        <w:t>c</w:t>
      </w:r>
      <w:r w:rsidR="00CB66F7" w:rsidRPr="00C87891">
        <w:t xml:space="preserve">urrently </w:t>
      </w:r>
      <w:r w:rsidR="00E97D5C" w:rsidRPr="00C87891">
        <w:t>published on https://www.entsoe.eu/publications/electronic-data-interchange-edi-library/.</w:t>
      </w:r>
    </w:p>
    <w:p w14:paraId="03C996D1" w14:textId="77777777" w:rsidR="00453CD2" w:rsidRPr="00C87891" w:rsidRDefault="00EF0A57" w:rsidP="008D6FBD">
      <w:pPr>
        <w:pStyle w:val="Heading1"/>
      </w:pPr>
      <w:bookmarkStart w:id="1" w:name="_Toc534355984"/>
      <w:bookmarkStart w:id="2" w:name="_Toc107495694"/>
      <w:bookmarkEnd w:id="1"/>
      <w:r w:rsidRPr="00C87891">
        <w:lastRenderedPageBreak/>
        <w:t>Methodologies, conditions and v</w:t>
      </w:r>
      <w:r w:rsidR="00453CD2" w:rsidRPr="00C87891">
        <w:t>alues subject to all regulatory authorities approval</w:t>
      </w:r>
      <w:bookmarkEnd w:id="2"/>
    </w:p>
    <w:p w14:paraId="67AB9562" w14:textId="080A4E98" w:rsidR="006B49F2" w:rsidRDefault="00C0351E" w:rsidP="00352AD3">
      <w:bookmarkStart w:id="3" w:name="_Hlk534356700"/>
      <w:r w:rsidRPr="00211B61">
        <w:t>The following section includes all methodologies, conditions and values jointly developed by all TSOs from the Synchronous Area CE and which are subject to approva</w:t>
      </w:r>
      <w:r w:rsidR="00B21E31">
        <w:t>l by all regulatory authorities</w:t>
      </w:r>
      <w:r w:rsidR="001718C8" w:rsidRPr="001718C8">
        <w:t>.</w:t>
      </w:r>
    </w:p>
    <w:p w14:paraId="3C8EB90D" w14:textId="77777777" w:rsidR="00DA35E0" w:rsidRDefault="00DA35E0" w:rsidP="0080784B">
      <w:pPr>
        <w:pStyle w:val="Heading2"/>
        <w:rPr>
          <w:lang w:eastAsia="de-DE"/>
        </w:rPr>
      </w:pPr>
      <w:bookmarkStart w:id="4" w:name="_Toc107495695"/>
      <w:r>
        <w:rPr>
          <w:lang w:eastAsia="de-DE"/>
        </w:rPr>
        <w:t>Common settlement rules applicable to intended exchanges of energy according to Article 50(3) EBGL (mandatory &amp; NRA approval)</w:t>
      </w:r>
      <w:bookmarkEnd w:id="4"/>
    </w:p>
    <w:p w14:paraId="4A5E0981" w14:textId="60BD8518" w:rsidR="00DA35E0" w:rsidRPr="00E46554" w:rsidRDefault="00DA35E0" w:rsidP="00E46554">
      <w:pPr>
        <w:rPr>
          <w:lang w:val="en-US"/>
        </w:rPr>
      </w:pPr>
      <w:r w:rsidRPr="00E46554">
        <w:rPr>
          <w:lang w:val="en-US"/>
        </w:rPr>
        <w:t xml:space="preserve">The SAFA Parties acknowledge that the proposal “All continental European TSOs’ proposal for common settlement rules for intended exchanges of energy as a result of the frequency containment process and ramping period in accordance with the Article 50(3) of Commission Regulation (EU) 2017/2195 of 23 November 2017 establishing a guideline on electricity balancing” </w:t>
      </w:r>
      <w:r w:rsidR="0080784B" w:rsidRPr="00E46554">
        <w:rPr>
          <w:lang w:val="en-US"/>
        </w:rPr>
        <w:t xml:space="preserve">that has been approved according to Article 4 EBGL on 09 March 2020 and </w:t>
      </w:r>
      <w:r w:rsidR="00E43FE3" w:rsidRPr="004301C4">
        <w:rPr>
          <w:lang w:val="en-US"/>
        </w:rPr>
        <w:t>approved by</w:t>
      </w:r>
      <w:r w:rsidR="00E43FE3" w:rsidRPr="00E46554">
        <w:rPr>
          <w:lang w:val="en-US"/>
        </w:rPr>
        <w:t xml:space="preserve"> the competent regulatory authorities in accordance with Article 5(3) EBGL </w:t>
      </w:r>
      <w:r w:rsidR="00E43FE3" w:rsidRPr="004301C4">
        <w:rPr>
          <w:lang w:val="en-US"/>
        </w:rPr>
        <w:t xml:space="preserve">as of </w:t>
      </w:r>
      <w:r w:rsidR="004301C4" w:rsidRPr="004301C4">
        <w:rPr>
          <w:lang w:val="en-US"/>
        </w:rPr>
        <w:t xml:space="preserve">16 June 2020 </w:t>
      </w:r>
      <w:r w:rsidR="0080784B" w:rsidRPr="00B51B29">
        <w:rPr>
          <w:lang w:val="en-US"/>
        </w:rPr>
        <w:t xml:space="preserve"> </w:t>
      </w:r>
      <w:r w:rsidR="0080784B" w:rsidRPr="00E46554">
        <w:rPr>
          <w:lang w:val="en-US"/>
        </w:rPr>
        <w:t>is accepted by all Parties</w:t>
      </w:r>
      <w:r w:rsidR="0080784B" w:rsidRPr="00B51B29">
        <w:rPr>
          <w:lang w:val="en-US"/>
        </w:rPr>
        <w:t>.</w:t>
      </w:r>
      <w:r w:rsidR="0080784B" w:rsidRPr="00E46554">
        <w:rPr>
          <w:lang w:val="en-US"/>
        </w:rPr>
        <w:t xml:space="preserve"> The Parties agree to apply this methodology as it is </w:t>
      </w:r>
      <w:r w:rsidR="004301C4">
        <w:rPr>
          <w:lang w:val="en-US"/>
        </w:rPr>
        <w:t>agreed</w:t>
      </w:r>
      <w:r w:rsidR="004301C4" w:rsidRPr="00E46554">
        <w:rPr>
          <w:lang w:val="en-US"/>
        </w:rPr>
        <w:t xml:space="preserve"> </w:t>
      </w:r>
      <w:r w:rsidR="0080784B" w:rsidRPr="00E46554">
        <w:rPr>
          <w:lang w:val="en-US"/>
        </w:rPr>
        <w:t xml:space="preserve">by the TSOs </w:t>
      </w:r>
      <w:r w:rsidR="004301C4">
        <w:rPr>
          <w:lang w:val="en-US"/>
        </w:rPr>
        <w:t>and</w:t>
      </w:r>
      <w:r w:rsidR="0080784B" w:rsidRPr="00E46554">
        <w:rPr>
          <w:lang w:val="en-US"/>
        </w:rPr>
        <w:t xml:space="preserve"> approved by the NRAs</w:t>
      </w:r>
      <w:r w:rsidRPr="00E46554">
        <w:rPr>
          <w:lang w:val="en-US"/>
        </w:rPr>
        <w:t>.</w:t>
      </w:r>
    </w:p>
    <w:p w14:paraId="149F7547" w14:textId="77777777" w:rsidR="00DA35E0" w:rsidRPr="0080784B" w:rsidRDefault="00DA35E0" w:rsidP="000755B5">
      <w:pPr>
        <w:rPr>
          <w:lang w:eastAsia="de-DE"/>
        </w:rPr>
      </w:pPr>
      <w:r w:rsidRPr="00E46554">
        <w:rPr>
          <w:lang w:val="en-US"/>
        </w:rPr>
        <w:t>Amendment Proposals that will be developed on the basis of a Request for Amendments by the relevant regulatory authorities according to Article 6 of the EB GL will be processed by applying the regular amendment rules according to Article 14 of the SAFA.</w:t>
      </w:r>
    </w:p>
    <w:p w14:paraId="4462EF59" w14:textId="77777777" w:rsidR="00DA35E0" w:rsidRDefault="00DA35E0" w:rsidP="0080784B">
      <w:pPr>
        <w:pStyle w:val="Heading2"/>
        <w:rPr>
          <w:lang w:eastAsia="de-DE"/>
        </w:rPr>
      </w:pPr>
      <w:bookmarkStart w:id="5" w:name="_Toc107495696"/>
      <w:r>
        <w:rPr>
          <w:lang w:eastAsia="de-DE"/>
        </w:rPr>
        <w:t>Common settlement rules applicable to all unintended exchanges of energy according to Article 51(1) EBGL (mandatory &amp; NRA approval)</w:t>
      </w:r>
      <w:bookmarkEnd w:id="5"/>
    </w:p>
    <w:p w14:paraId="2284F8E8" w14:textId="30136404" w:rsidR="00DA35E0" w:rsidRPr="00E46554" w:rsidRDefault="00DA35E0" w:rsidP="00E46554">
      <w:r w:rsidRPr="00E46554">
        <w:t xml:space="preserve">The SAFA-Parties acknowledge that the document “All continental European TSOs’ proposal for common settlement rules for all unintended exchanges of energy in accordance with Article 51(1) of Commission Regulation (EU) 2017/2195 of 23 November 2017 establishing a guideline on electricity balancing” </w:t>
      </w:r>
      <w:r w:rsidR="0080784B" w:rsidRPr="00E46554">
        <w:rPr>
          <w:lang w:val="en-US"/>
        </w:rPr>
        <w:t xml:space="preserve">that has been approved according to Article 4 EBGL on 09 March 2020 and </w:t>
      </w:r>
      <w:r w:rsidR="004301C4" w:rsidRPr="004301C4">
        <w:rPr>
          <w:lang w:val="en-US"/>
        </w:rPr>
        <w:t>approved by</w:t>
      </w:r>
      <w:r w:rsidR="004301C4" w:rsidRPr="00E46554">
        <w:rPr>
          <w:lang w:val="en-US"/>
        </w:rPr>
        <w:t xml:space="preserve"> the competent regulatory authorities in accordance with Article 5(3) EBGL </w:t>
      </w:r>
      <w:r w:rsidR="004301C4" w:rsidRPr="004301C4">
        <w:rPr>
          <w:lang w:val="en-US"/>
        </w:rPr>
        <w:t xml:space="preserve">as of 16 June 2020 </w:t>
      </w:r>
      <w:r w:rsidR="0080784B" w:rsidRPr="00B51B29">
        <w:rPr>
          <w:lang w:val="en-US"/>
        </w:rPr>
        <w:t xml:space="preserve"> </w:t>
      </w:r>
      <w:r w:rsidR="0080784B" w:rsidRPr="00E46554">
        <w:rPr>
          <w:lang w:val="en-US"/>
        </w:rPr>
        <w:t>is accepted by all Parties</w:t>
      </w:r>
      <w:r w:rsidR="0080784B" w:rsidRPr="00B51B29">
        <w:rPr>
          <w:lang w:val="en-US"/>
        </w:rPr>
        <w:t>.</w:t>
      </w:r>
      <w:r w:rsidR="0080784B" w:rsidRPr="00E46554">
        <w:rPr>
          <w:lang w:val="en-US"/>
        </w:rPr>
        <w:t xml:space="preserve"> The Parties agree to apply this methodology as it is </w:t>
      </w:r>
      <w:r w:rsidR="004301C4">
        <w:rPr>
          <w:lang w:val="en-US"/>
        </w:rPr>
        <w:t>agreed</w:t>
      </w:r>
      <w:r w:rsidR="004301C4" w:rsidRPr="00E46554">
        <w:rPr>
          <w:lang w:val="en-US"/>
        </w:rPr>
        <w:t xml:space="preserve"> </w:t>
      </w:r>
      <w:r w:rsidR="0080784B" w:rsidRPr="00E46554">
        <w:rPr>
          <w:lang w:val="en-US"/>
        </w:rPr>
        <w:t xml:space="preserve">by the TSOs </w:t>
      </w:r>
      <w:r w:rsidR="004301C4">
        <w:rPr>
          <w:lang w:val="en-US"/>
        </w:rPr>
        <w:t>and</w:t>
      </w:r>
      <w:r w:rsidR="0080784B" w:rsidRPr="00E46554">
        <w:rPr>
          <w:lang w:val="en-US"/>
        </w:rPr>
        <w:t xml:space="preserve"> approved by the NRAs</w:t>
      </w:r>
      <w:r w:rsidRPr="00E46554">
        <w:rPr>
          <w:lang w:val="en-US"/>
        </w:rPr>
        <w:t>.</w:t>
      </w:r>
    </w:p>
    <w:p w14:paraId="624DB25F" w14:textId="77777777" w:rsidR="00DA35E0" w:rsidRPr="00C87891" w:rsidRDefault="00DA35E0" w:rsidP="000755B5">
      <w:r w:rsidRPr="00E46554">
        <w:t>Amendment Proposals that will be developed on the basis of a Request for Amendments by the relevant regulatory authorities according to Article 6 of the EB GL will be processed by applying the regular amendment rules according to Article 14 of the SAFA.</w:t>
      </w:r>
    </w:p>
    <w:p w14:paraId="59C0DB66" w14:textId="77777777" w:rsidR="00453CD2" w:rsidRPr="00C87891" w:rsidRDefault="00453CD2" w:rsidP="004D2B81">
      <w:pPr>
        <w:pStyle w:val="Heading1"/>
      </w:pPr>
      <w:bookmarkStart w:id="6" w:name="_Toc107495697"/>
      <w:bookmarkEnd w:id="3"/>
      <w:r w:rsidRPr="00C87891">
        <w:lastRenderedPageBreak/>
        <w:t xml:space="preserve">Methodologies, </w:t>
      </w:r>
      <w:r w:rsidR="003F4F54" w:rsidRPr="00C87891">
        <w:t>c</w:t>
      </w:r>
      <w:r w:rsidR="00A91276" w:rsidRPr="00C87891">
        <w:t xml:space="preserve">onditions </w:t>
      </w:r>
      <w:r w:rsidR="003F4F54" w:rsidRPr="00C87891">
        <w:t>and v</w:t>
      </w:r>
      <w:r w:rsidRPr="00C87891">
        <w:t xml:space="preserve">alues </w:t>
      </w:r>
      <w:r w:rsidR="003F4F54" w:rsidRPr="00C87891">
        <w:t>s</w:t>
      </w:r>
      <w:r w:rsidR="00A91276" w:rsidRPr="00C87891">
        <w:t xml:space="preserve">ubject </w:t>
      </w:r>
      <w:r w:rsidRPr="00C87891">
        <w:t xml:space="preserve">to </w:t>
      </w:r>
      <w:r w:rsidR="003F4F54" w:rsidRPr="00C87891">
        <w:t>a</w:t>
      </w:r>
      <w:r w:rsidR="00A91276" w:rsidRPr="00C87891">
        <w:t xml:space="preserve">pproval </w:t>
      </w:r>
      <w:r w:rsidR="00EF0A57" w:rsidRPr="00C87891">
        <w:t>by all TSOs</w:t>
      </w:r>
      <w:bookmarkEnd w:id="6"/>
    </w:p>
    <w:p w14:paraId="56ADBFAE" w14:textId="77777777" w:rsidR="00060F46" w:rsidRPr="00C87891" w:rsidRDefault="001718C8" w:rsidP="00060F46">
      <w:r w:rsidRPr="001718C8">
        <w:t xml:space="preserve">The Parties acknowledge that at the moment of entry into force of the Agreement there is no obligation arising from the applicable legislation according to Article 2.1 of the SAFA to include Part </w:t>
      </w:r>
      <w:r>
        <w:t>B</w:t>
      </w:r>
      <w:r w:rsidRPr="001718C8">
        <w:t xml:space="preserve"> within the subject scope of the Policy on Accounting and Settlement.</w:t>
      </w:r>
    </w:p>
    <w:p w14:paraId="629F5811" w14:textId="77777777" w:rsidR="00785343" w:rsidRPr="00C87891" w:rsidRDefault="00785343" w:rsidP="00453CD2">
      <w:pPr>
        <w:ind w:left="578"/>
      </w:pPr>
    </w:p>
    <w:p w14:paraId="1602668F" w14:textId="77777777" w:rsidR="00CD6BF3" w:rsidRPr="00C87891" w:rsidRDefault="00CD6BF3" w:rsidP="004D2B81">
      <w:pPr>
        <w:pStyle w:val="Heading1"/>
      </w:pPr>
      <w:bookmarkStart w:id="7" w:name="_Toc107495698"/>
      <w:r w:rsidRPr="00C87891">
        <w:lastRenderedPageBreak/>
        <w:t xml:space="preserve">Methodologies, conditions and </w:t>
      </w:r>
      <w:r w:rsidR="00665970" w:rsidRPr="00C87891">
        <w:t>v</w:t>
      </w:r>
      <w:r w:rsidRPr="00C87891">
        <w:t>alues agreed among the members</w:t>
      </w:r>
      <w:r w:rsidR="00D24103" w:rsidRPr="00C87891">
        <w:t xml:space="preserve"> of RGCE</w:t>
      </w:r>
      <w:bookmarkEnd w:id="7"/>
    </w:p>
    <w:p w14:paraId="75254261" w14:textId="29EA98A2" w:rsidR="00CD6BF3" w:rsidRPr="00C87891" w:rsidRDefault="00CD6BF3" w:rsidP="00956C1C">
      <w:r w:rsidRPr="00C87891">
        <w:t xml:space="preserve">The following section includes all methodologies, conditions and values which are jointly developed and agreed among the </w:t>
      </w:r>
      <w:r w:rsidR="00CB66F7" w:rsidRPr="00C87891">
        <w:t>SAFA parties</w:t>
      </w:r>
      <w:r w:rsidRPr="00C87891">
        <w:t>.</w:t>
      </w:r>
    </w:p>
    <w:p w14:paraId="3170798D" w14:textId="77777777" w:rsidR="00B220D2" w:rsidRPr="00C87891" w:rsidRDefault="00443483" w:rsidP="004D2B81">
      <w:pPr>
        <w:pStyle w:val="Heading2"/>
      </w:pPr>
      <w:bookmarkStart w:id="8" w:name="_Toc475451993"/>
      <w:bookmarkStart w:id="9" w:name="_Toc475451994"/>
      <w:bookmarkStart w:id="10" w:name="_Toc475451998"/>
      <w:bookmarkStart w:id="11" w:name="_Toc475452001"/>
      <w:bookmarkStart w:id="12" w:name="_Toc475452004"/>
      <w:bookmarkStart w:id="13" w:name="_Toc475452005"/>
      <w:bookmarkStart w:id="14" w:name="_Toc475452006"/>
      <w:bookmarkStart w:id="15" w:name="_Toc475452008"/>
      <w:bookmarkStart w:id="16" w:name="_Toc107495699"/>
      <w:bookmarkEnd w:id="8"/>
      <w:bookmarkEnd w:id="9"/>
      <w:bookmarkEnd w:id="10"/>
      <w:bookmarkEnd w:id="11"/>
      <w:bookmarkEnd w:id="12"/>
      <w:bookmarkEnd w:id="13"/>
      <w:bookmarkEnd w:id="14"/>
      <w:bookmarkEnd w:id="15"/>
      <w:r w:rsidRPr="00C87891">
        <w:t>Definitions</w:t>
      </w:r>
      <w:bookmarkEnd w:id="16"/>
    </w:p>
    <w:p w14:paraId="42F3E8DE" w14:textId="77777777" w:rsidR="00F41D47" w:rsidRPr="00C87891" w:rsidRDefault="00F41D47" w:rsidP="009E65D7">
      <w:pPr>
        <w:pStyle w:val="Heading3"/>
      </w:pPr>
      <w:bookmarkStart w:id="17" w:name="_Toc107495700"/>
      <w:r w:rsidRPr="00C87891">
        <w:t>Accounting process</w:t>
      </w:r>
      <w:bookmarkEnd w:id="17"/>
    </w:p>
    <w:p w14:paraId="3804BEB7" w14:textId="6354D8D2" w:rsidR="00F41D47" w:rsidRPr="00C87891" w:rsidRDefault="009E65D7" w:rsidP="00830CE1">
      <w:r w:rsidRPr="00C87891">
        <w:t xml:space="preserve">The </w:t>
      </w:r>
      <w:r w:rsidR="00D67CEF" w:rsidRPr="00C87891">
        <w:t>A</w:t>
      </w:r>
      <w:r w:rsidRPr="00C87891">
        <w:t xml:space="preserve">ccounting </w:t>
      </w:r>
      <w:r w:rsidR="00D67CEF" w:rsidRPr="00C87891">
        <w:t>P</w:t>
      </w:r>
      <w:r w:rsidRPr="00C87891">
        <w:t xml:space="preserve">rocess is the validation of the metered data (usually located at an interconnecting </w:t>
      </w:r>
      <w:r w:rsidR="00D67CEF" w:rsidRPr="00C87891">
        <w:t>T</w:t>
      </w:r>
      <w:r w:rsidR="00DF6CB6" w:rsidRPr="00C87891">
        <w:t>ie-</w:t>
      </w:r>
      <w:r w:rsidR="00D67CEF" w:rsidRPr="00C87891">
        <w:t>L</w:t>
      </w:r>
      <w:r w:rsidR="00DF6CB6" w:rsidRPr="00C87891">
        <w:t>ine</w:t>
      </w:r>
      <w:r w:rsidRPr="00C87891">
        <w:t xml:space="preserve"> of a TSO) and of the resulting </w:t>
      </w:r>
      <w:r w:rsidR="00D67CEF" w:rsidRPr="00C87891">
        <w:t>A</w:t>
      </w:r>
      <w:r w:rsidRPr="00C87891">
        <w:t xml:space="preserve">ccounting </w:t>
      </w:r>
      <w:r w:rsidR="00D67CEF" w:rsidRPr="00C87891">
        <w:t>D</w:t>
      </w:r>
      <w:r w:rsidRPr="00C87891">
        <w:t xml:space="preserve">ata. </w:t>
      </w:r>
      <w:r w:rsidR="00D74B43" w:rsidRPr="00C87891">
        <w:t xml:space="preserve">The purpose of the daily accounting is to provide a validated set of </w:t>
      </w:r>
      <w:r w:rsidR="00D67CEF" w:rsidRPr="00C87891">
        <w:t>A</w:t>
      </w:r>
      <w:r w:rsidR="00D74B43" w:rsidRPr="00C87891">
        <w:t xml:space="preserve">ccounting </w:t>
      </w:r>
      <w:r w:rsidR="00D67CEF" w:rsidRPr="00C87891">
        <w:t>D</w:t>
      </w:r>
      <w:r w:rsidR="00D74B43" w:rsidRPr="00C87891">
        <w:t xml:space="preserve">ata to the </w:t>
      </w:r>
      <w:r w:rsidR="002E2691">
        <w:t>Coordination</w:t>
      </w:r>
      <w:r w:rsidR="00D74B43" w:rsidRPr="00C87891">
        <w:t xml:space="preserve"> Centres</w:t>
      </w:r>
      <w:r w:rsidR="00E46554">
        <w:t xml:space="preserve"> (CCs)</w:t>
      </w:r>
      <w:r w:rsidR="00D74B43" w:rsidRPr="00C87891">
        <w:t xml:space="preserve"> in order to calculate every day the actual state of the </w:t>
      </w:r>
      <w:r w:rsidR="00D67CEF" w:rsidRPr="00C87891">
        <w:t>A</w:t>
      </w:r>
      <w:r w:rsidR="00D74B43" w:rsidRPr="00C87891">
        <w:t xml:space="preserve">ccount of </w:t>
      </w:r>
      <w:r w:rsidR="00D67CEF" w:rsidRPr="00C87891">
        <w:t>U</w:t>
      </w:r>
      <w:r w:rsidR="00D74B43" w:rsidRPr="00C87891">
        <w:t xml:space="preserve">nintentional </w:t>
      </w:r>
      <w:r w:rsidR="00D67CEF" w:rsidRPr="00C87891">
        <w:t>D</w:t>
      </w:r>
      <w:r w:rsidR="00D74B43" w:rsidRPr="00C87891">
        <w:t>eviation.</w:t>
      </w:r>
    </w:p>
    <w:p w14:paraId="1C762315" w14:textId="0F6E3E24" w:rsidR="00F2016E" w:rsidRDefault="008B3CCA" w:rsidP="00F2016E">
      <w:r>
        <w:t>The purpose of the accounting process is the calculation of the</w:t>
      </w:r>
      <w:r w:rsidR="00C6202F">
        <w:t xml:space="preserve"> volumes o</w:t>
      </w:r>
      <w:r w:rsidR="003D2C9D">
        <w:t>f</w:t>
      </w:r>
      <w:r>
        <w:t xml:space="preserve"> </w:t>
      </w:r>
      <w:r w:rsidR="00F2016E">
        <w:t xml:space="preserve">intended exchanges of energy as a result of the frequency containment process (FCP energy), the ramping period energy (RP energy) and Unintended Exchanges (UE energy), for each TSO-TSO settlement period.  </w:t>
      </w:r>
    </w:p>
    <w:p w14:paraId="393A6B21" w14:textId="77777777" w:rsidR="0043518D" w:rsidRPr="00C87891" w:rsidRDefault="00F41D47" w:rsidP="009E65D7">
      <w:pPr>
        <w:pStyle w:val="Heading3"/>
      </w:pPr>
      <w:bookmarkStart w:id="18" w:name="_Toc54000654"/>
      <w:bookmarkStart w:id="19" w:name="_Toc107495701"/>
      <w:bookmarkEnd w:id="18"/>
      <w:r w:rsidRPr="00C87891">
        <w:t>Settlement process</w:t>
      </w:r>
      <w:bookmarkEnd w:id="19"/>
    </w:p>
    <w:p w14:paraId="0351E87F" w14:textId="0161D892" w:rsidR="000268E7" w:rsidRPr="00E46554" w:rsidRDefault="003D2C9D" w:rsidP="00E46554">
      <w:r>
        <w:t>The purpose of the Settlement Process is the determination of the settlement prices for the intended exchanges of energy as a result of the frequency containment process (FCP energy), the ramping period energy (RP energy) and Unintended Exchanges (UE energy), for each TSO-TSO settlement period</w:t>
      </w:r>
      <w:r w:rsidR="002E2740">
        <w:t xml:space="preserve"> and the final </w:t>
      </w:r>
      <w:r w:rsidR="00035040">
        <w:t>monetary values</w:t>
      </w:r>
      <w:r w:rsidR="002E2740">
        <w:t xml:space="preserve"> for each LFC area</w:t>
      </w:r>
      <w:r w:rsidR="0037032E">
        <w:t>/block</w:t>
      </w:r>
      <w:r w:rsidR="002E2740">
        <w:t xml:space="preserve"> and settlement period</w:t>
      </w:r>
      <w:r>
        <w:t>.</w:t>
      </w:r>
      <w:r w:rsidR="00035040">
        <w:t xml:space="preserve"> The Settlement Process concludes with the distribution of results through the Settlement Reports</w:t>
      </w:r>
      <w:r>
        <w:t xml:space="preserve"> </w:t>
      </w:r>
      <w:r w:rsidRPr="00E46554">
        <w:t xml:space="preserve"> </w:t>
      </w:r>
    </w:p>
    <w:p w14:paraId="57AE1393" w14:textId="77777777" w:rsidR="00E97D5C" w:rsidRPr="00C87891" w:rsidRDefault="006C4D0B" w:rsidP="00A37702">
      <w:pPr>
        <w:pStyle w:val="Heading3"/>
      </w:pPr>
      <w:bookmarkStart w:id="20" w:name="_Ref512261717"/>
      <w:bookmarkStart w:id="21" w:name="_Toc107495702"/>
      <w:r w:rsidRPr="00C87891">
        <w:t xml:space="preserve">Cross-border </w:t>
      </w:r>
      <w:r w:rsidR="00E97D5C" w:rsidRPr="00C87891">
        <w:t>Energy Exchanges</w:t>
      </w:r>
      <w:bookmarkEnd w:id="20"/>
      <w:bookmarkEnd w:id="21"/>
      <w:r w:rsidR="006451E3">
        <w:t xml:space="preserve"> </w:t>
      </w:r>
    </w:p>
    <w:p w14:paraId="4C31D8E0" w14:textId="77777777" w:rsidR="0060132B" w:rsidRPr="00C87891" w:rsidRDefault="0060132B" w:rsidP="00775C73">
      <w:r w:rsidRPr="00C87891">
        <w:t xml:space="preserve">The </w:t>
      </w:r>
      <w:r w:rsidR="006C4D0B" w:rsidRPr="00C87891">
        <w:t xml:space="preserve">cross-border </w:t>
      </w:r>
      <w:r w:rsidRPr="00C87891">
        <w:t>energy exchange consists of the following:</w:t>
      </w:r>
    </w:p>
    <w:p w14:paraId="1751E3A3" w14:textId="630CCDAB" w:rsidR="009B6CB1" w:rsidRPr="00E46554" w:rsidRDefault="00D26D46" w:rsidP="00E46554">
      <w:pPr>
        <w:rPr>
          <w:rStyle w:val="Strong"/>
        </w:rPr>
      </w:pPr>
      <m:oMathPara>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ex</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sch</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VTL</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FCP</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RP</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m:oMathPara>
    </w:p>
    <w:p w14:paraId="3B969897" w14:textId="77777777" w:rsidR="00B40F5A" w:rsidRPr="00C87891" w:rsidRDefault="004A77A7" w:rsidP="001D1D63">
      <w:pPr>
        <w:rPr>
          <w:rStyle w:val="Strong"/>
          <w:b w:val="0"/>
          <w:bCs w:val="0"/>
        </w:rPr>
      </w:pPr>
      <w:r>
        <w:rPr>
          <w:rStyle w:val="Strong"/>
        </w:rPr>
        <w:t xml:space="preserve">Cross-border flows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ex</m:t>
            </m:r>
          </m:sub>
        </m:sSub>
      </m:oMath>
    </w:p>
    <w:p w14:paraId="1B68B16C" w14:textId="5D1C8FC8" w:rsidR="003E0E00" w:rsidRPr="00C87891" w:rsidRDefault="00B40F5A" w:rsidP="003E0E00">
      <w:r w:rsidRPr="00C87891">
        <w:t xml:space="preserve">The sum of the </w:t>
      </w:r>
      <w:r w:rsidR="006C4D0B" w:rsidRPr="00C87891">
        <w:t xml:space="preserve">cross-border </w:t>
      </w:r>
      <w:r w:rsidR="00B5082A" w:rsidRPr="00C87891">
        <w:t>T</w:t>
      </w:r>
      <w:r w:rsidR="00775C73" w:rsidRPr="00C87891">
        <w:t>ie-</w:t>
      </w:r>
      <w:r w:rsidR="00B5082A" w:rsidRPr="00C87891">
        <w:t>L</w:t>
      </w:r>
      <w:r w:rsidR="00775C73" w:rsidRPr="00C87891">
        <w:t>ine</w:t>
      </w:r>
      <w:r w:rsidRPr="00C87891">
        <w:t xml:space="preserve"> flows on a border between two TSOs / LFC </w:t>
      </w:r>
      <w:r w:rsidR="00B5082A" w:rsidRPr="00C87891">
        <w:t>A</w:t>
      </w:r>
      <w:r w:rsidRPr="00C87891">
        <w:t xml:space="preserve">reas / LFC </w:t>
      </w:r>
      <w:r w:rsidR="00B5082A" w:rsidRPr="00C87891">
        <w:t>B</w:t>
      </w:r>
      <w:r w:rsidRPr="00C87891">
        <w:t>locks</w:t>
      </w:r>
      <w:r w:rsidR="001E7D5E" w:rsidRPr="00C87891">
        <w:t xml:space="preserve">, as taken from the </w:t>
      </w:r>
      <w:r w:rsidR="00B5082A" w:rsidRPr="00C87891">
        <w:t>A</w:t>
      </w:r>
      <w:r w:rsidR="001E7D5E" w:rsidRPr="00C87891">
        <w:t xml:space="preserve">ccounting </w:t>
      </w:r>
      <w:r w:rsidR="00B5082A" w:rsidRPr="00C87891">
        <w:t>D</w:t>
      </w:r>
      <w:r w:rsidR="001E7D5E" w:rsidRPr="00C87891">
        <w:t>ata.</w:t>
      </w:r>
    </w:p>
    <w:p w14:paraId="1A6B4A89" w14:textId="77777777" w:rsidR="006060CC" w:rsidRPr="00C87891" w:rsidRDefault="006060CC" w:rsidP="006060CC">
      <w:pPr>
        <w:rPr>
          <w:rStyle w:val="Strong"/>
          <w:b w:val="0"/>
          <w:bCs w:val="0"/>
        </w:rPr>
      </w:pPr>
      <w:r>
        <w:rPr>
          <w:rStyle w:val="Strong"/>
        </w:rPr>
        <w:t xml:space="preserve">Aggregated netted external schedules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sch</m:t>
            </m:r>
          </m:sub>
        </m:sSub>
      </m:oMath>
    </w:p>
    <w:p w14:paraId="21173C7E" w14:textId="153978E0" w:rsidR="006060CC" w:rsidRPr="00C87891" w:rsidRDefault="006060CC" w:rsidP="006060CC">
      <w:pPr>
        <w:rPr>
          <w:rStyle w:val="Strong"/>
          <w:b w:val="0"/>
          <w:bCs w:val="0"/>
        </w:rPr>
      </w:pPr>
      <w:r w:rsidRPr="00C87891">
        <w:rPr>
          <w:rStyle w:val="Strong"/>
          <w:b w:val="0"/>
          <w:bCs w:val="0"/>
        </w:rPr>
        <w:t xml:space="preserve">This means the cross-border energy exchange through Aggregated Netted External Schedules (ANES) according to SOGL. This includes the cross-border energy exchanged </w:t>
      </w:r>
      <w:r w:rsidR="00D00154">
        <w:rPr>
          <w:rStyle w:val="Strong"/>
          <w:b w:val="0"/>
          <w:bCs w:val="0"/>
        </w:rPr>
        <w:t>as</w:t>
      </w:r>
      <w:r w:rsidR="00D00154" w:rsidRPr="00C87891">
        <w:rPr>
          <w:rStyle w:val="Strong"/>
          <w:b w:val="0"/>
          <w:bCs w:val="0"/>
        </w:rPr>
        <w:t xml:space="preserve"> </w:t>
      </w:r>
      <w:r w:rsidRPr="00C87891">
        <w:rPr>
          <w:rStyle w:val="Strong"/>
          <w:b w:val="0"/>
          <w:bCs w:val="0"/>
        </w:rPr>
        <w:t xml:space="preserve">Replacement Reserves </w:t>
      </w:r>
      <w:r w:rsidR="00035040">
        <w:rPr>
          <w:rStyle w:val="Strong"/>
          <w:b w:val="0"/>
          <w:bCs w:val="0"/>
        </w:rPr>
        <w:t xml:space="preserve">and Emergency Assistance </w:t>
      </w:r>
      <w:r w:rsidRPr="00C87891">
        <w:rPr>
          <w:rStyle w:val="Strong"/>
          <w:b w:val="0"/>
          <w:bCs w:val="0"/>
        </w:rPr>
        <w:t xml:space="preserve">as well. </w:t>
      </w:r>
      <w:r w:rsidR="004C5C07">
        <w:rPr>
          <w:rStyle w:val="Strong"/>
          <w:b w:val="0"/>
          <w:bCs w:val="0"/>
        </w:rPr>
        <w:t xml:space="preserve"> </w:t>
      </w:r>
    </w:p>
    <w:p w14:paraId="137875A2" w14:textId="77777777" w:rsidR="009D7287" w:rsidRPr="00C87891" w:rsidRDefault="004A77A7" w:rsidP="001D1D63">
      <w:pPr>
        <w:rPr>
          <w:rStyle w:val="Strong"/>
        </w:rPr>
      </w:pPr>
      <w:r w:rsidRPr="004A77A7">
        <w:rPr>
          <w:rStyle w:val="Strong"/>
        </w:rPr>
        <w:t>Virtual tie-line exchanges</w:t>
      </w:r>
      <w:r>
        <w:rPr>
          <w:rStyle w:val="Strong"/>
          <w:b w:val="0"/>
          <w:bCs w:val="0"/>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VTL</m:t>
            </m:r>
          </m:sub>
        </m:sSub>
      </m:oMath>
    </w:p>
    <w:p w14:paraId="07C1F764" w14:textId="6B493A1A" w:rsidR="00217FC9" w:rsidRPr="00E46554" w:rsidRDefault="00775C73" w:rsidP="00110580">
      <w:r w:rsidRPr="00C87891">
        <w:rPr>
          <w:rStyle w:val="Strong"/>
          <w:b w:val="0"/>
          <w:bCs w:val="0"/>
        </w:rPr>
        <w:t xml:space="preserve">Virtual </w:t>
      </w:r>
      <w:r w:rsidR="00B5082A" w:rsidRPr="00C87891">
        <w:rPr>
          <w:rStyle w:val="Strong"/>
          <w:b w:val="0"/>
          <w:bCs w:val="0"/>
        </w:rPr>
        <w:t>T</w:t>
      </w:r>
      <w:r w:rsidRPr="00C87891">
        <w:rPr>
          <w:rStyle w:val="Strong"/>
          <w:b w:val="0"/>
          <w:bCs w:val="0"/>
        </w:rPr>
        <w:t>ie-</w:t>
      </w:r>
      <w:r w:rsidR="00B5082A" w:rsidRPr="00C87891">
        <w:rPr>
          <w:rStyle w:val="Strong"/>
          <w:b w:val="0"/>
          <w:bCs w:val="0"/>
        </w:rPr>
        <w:t>L</w:t>
      </w:r>
      <w:r w:rsidR="009D7287" w:rsidRPr="00C87891">
        <w:rPr>
          <w:rStyle w:val="Strong"/>
          <w:b w:val="0"/>
          <w:bCs w:val="0"/>
        </w:rPr>
        <w:t xml:space="preserve">ine is </w:t>
      </w:r>
      <w:r w:rsidR="009D7287" w:rsidRPr="00C87891">
        <w:t>defined</w:t>
      </w:r>
      <w:r w:rsidR="009D7287" w:rsidRPr="00C87891">
        <w:rPr>
          <w:rStyle w:val="Strong"/>
          <w:b w:val="0"/>
          <w:bCs w:val="0"/>
        </w:rPr>
        <w:t xml:space="preserve"> in SOGL. The energy exchanged through </w:t>
      </w:r>
      <w:r w:rsidR="00B5082A" w:rsidRPr="00C87891">
        <w:rPr>
          <w:rStyle w:val="Strong"/>
          <w:b w:val="0"/>
          <w:bCs w:val="0"/>
        </w:rPr>
        <w:t>V</w:t>
      </w:r>
      <w:r w:rsidR="009D7287" w:rsidRPr="00C87891">
        <w:rPr>
          <w:rStyle w:val="Strong"/>
          <w:b w:val="0"/>
          <w:bCs w:val="0"/>
        </w:rPr>
        <w:t xml:space="preserve">irtual </w:t>
      </w:r>
      <w:r w:rsidR="00B5082A" w:rsidRPr="00C87891">
        <w:rPr>
          <w:rStyle w:val="Strong"/>
          <w:b w:val="0"/>
          <w:bCs w:val="0"/>
        </w:rPr>
        <w:t>T</w:t>
      </w:r>
      <w:r w:rsidR="009D7287" w:rsidRPr="00C87891">
        <w:rPr>
          <w:rStyle w:val="Strong"/>
          <w:b w:val="0"/>
          <w:bCs w:val="0"/>
        </w:rPr>
        <w:t>ie</w:t>
      </w:r>
      <w:r w:rsidR="000545B3" w:rsidRPr="00C87891">
        <w:rPr>
          <w:rStyle w:val="Strong"/>
          <w:b w:val="0"/>
          <w:bCs w:val="0"/>
        </w:rPr>
        <w:t>-</w:t>
      </w:r>
      <w:r w:rsidR="00B5082A" w:rsidRPr="00C87891">
        <w:rPr>
          <w:rStyle w:val="Strong"/>
          <w:b w:val="0"/>
          <w:bCs w:val="0"/>
        </w:rPr>
        <w:t>L</w:t>
      </w:r>
      <w:r w:rsidR="009D7287" w:rsidRPr="00C87891">
        <w:rPr>
          <w:rStyle w:val="Strong"/>
          <w:b w:val="0"/>
          <w:bCs w:val="0"/>
        </w:rPr>
        <w:t xml:space="preserve">ines can be manual </w:t>
      </w:r>
      <w:r w:rsidR="00B5082A" w:rsidRPr="00C87891">
        <w:rPr>
          <w:rStyle w:val="Strong"/>
          <w:b w:val="0"/>
          <w:bCs w:val="0"/>
        </w:rPr>
        <w:t>Frequency Restoration Reserves, automatic Frequency Restoration Reserves and Imbalance Netting</w:t>
      </w:r>
      <w:r w:rsidR="009D7287" w:rsidRPr="00C87891">
        <w:rPr>
          <w:rStyle w:val="Strong"/>
          <w:b w:val="0"/>
          <w:bCs w:val="0"/>
        </w:rPr>
        <w:t xml:space="preserve">. </w:t>
      </w:r>
      <w:r w:rsidR="00AD5F99" w:rsidRPr="00C87891">
        <w:rPr>
          <w:rStyle w:val="Strong"/>
          <w:b w:val="0"/>
          <w:bCs w:val="0"/>
        </w:rPr>
        <w:t>Moreover,</w:t>
      </w:r>
      <w:r w:rsidR="009D7287" w:rsidRPr="00C87891">
        <w:rPr>
          <w:rStyle w:val="Strong"/>
          <w:b w:val="0"/>
          <w:bCs w:val="0"/>
        </w:rPr>
        <w:t xml:space="preserve"> there might be other proce</w:t>
      </w:r>
      <w:r w:rsidR="00073A6F" w:rsidRPr="00C87891">
        <w:rPr>
          <w:rStyle w:val="Strong"/>
          <w:b w:val="0"/>
          <w:bCs w:val="0"/>
        </w:rPr>
        <w:t xml:space="preserve">sses that use </w:t>
      </w:r>
      <w:r w:rsidR="00B5082A" w:rsidRPr="00C87891">
        <w:rPr>
          <w:rStyle w:val="Strong"/>
          <w:b w:val="0"/>
          <w:bCs w:val="0"/>
        </w:rPr>
        <w:t>V</w:t>
      </w:r>
      <w:r w:rsidR="00073A6F" w:rsidRPr="00C87891">
        <w:rPr>
          <w:rStyle w:val="Strong"/>
          <w:b w:val="0"/>
          <w:bCs w:val="0"/>
        </w:rPr>
        <w:t xml:space="preserve">irtual </w:t>
      </w:r>
      <w:r w:rsidR="00B5082A" w:rsidRPr="00C87891">
        <w:rPr>
          <w:rStyle w:val="Strong"/>
          <w:b w:val="0"/>
          <w:bCs w:val="0"/>
        </w:rPr>
        <w:t>T</w:t>
      </w:r>
      <w:r w:rsidR="00073A6F" w:rsidRPr="00C87891">
        <w:rPr>
          <w:rStyle w:val="Strong"/>
          <w:b w:val="0"/>
          <w:bCs w:val="0"/>
        </w:rPr>
        <w:t>ie-</w:t>
      </w:r>
      <w:r w:rsidR="00B5082A" w:rsidRPr="00C87891">
        <w:rPr>
          <w:rStyle w:val="Strong"/>
          <w:b w:val="0"/>
          <w:bCs w:val="0"/>
        </w:rPr>
        <w:t>L</w:t>
      </w:r>
      <w:r w:rsidR="00073A6F" w:rsidRPr="00C87891">
        <w:rPr>
          <w:rStyle w:val="Strong"/>
          <w:b w:val="0"/>
          <w:bCs w:val="0"/>
        </w:rPr>
        <w:t xml:space="preserve">ines </w:t>
      </w:r>
      <w:r w:rsidR="009D7287" w:rsidRPr="00C87891">
        <w:rPr>
          <w:rStyle w:val="Strong"/>
          <w:b w:val="0"/>
          <w:bCs w:val="0"/>
        </w:rPr>
        <w:t>for the exchange of energy.</w:t>
      </w:r>
      <w:r w:rsidR="009331A7" w:rsidRPr="00C87891">
        <w:rPr>
          <w:rStyle w:val="Strong"/>
          <w:b w:val="0"/>
          <w:bCs w:val="0"/>
        </w:rPr>
        <w:t xml:space="preserve"> Virtual tie-line exchanges are </w:t>
      </w:r>
      <w:r w:rsidR="004C5C07">
        <w:rPr>
          <w:rStyle w:val="Strong"/>
          <w:b w:val="0"/>
          <w:bCs w:val="0"/>
        </w:rPr>
        <w:t>established</w:t>
      </w:r>
      <w:r w:rsidR="004C5C07" w:rsidRPr="00C87891">
        <w:rPr>
          <w:rStyle w:val="Strong"/>
          <w:b w:val="0"/>
          <w:bCs w:val="0"/>
        </w:rPr>
        <w:t xml:space="preserve"> </w:t>
      </w:r>
      <w:r w:rsidR="004C5C07">
        <w:rPr>
          <w:rStyle w:val="Strong"/>
          <w:b w:val="0"/>
          <w:bCs w:val="0"/>
        </w:rPr>
        <w:t>with</w:t>
      </w:r>
      <w:r w:rsidR="009331A7" w:rsidRPr="00C87891">
        <w:rPr>
          <w:rStyle w:val="Strong"/>
          <w:b w:val="0"/>
          <w:bCs w:val="0"/>
        </w:rPr>
        <w:t xml:space="preserve">in the </w:t>
      </w:r>
      <w:r w:rsidR="006060CC">
        <w:rPr>
          <w:rStyle w:val="Strong"/>
          <w:b w:val="0"/>
          <w:bCs w:val="0"/>
        </w:rPr>
        <w:t>A</w:t>
      </w:r>
      <w:r w:rsidR="009331A7" w:rsidRPr="00C87891">
        <w:rPr>
          <w:rStyle w:val="Strong"/>
          <w:b w:val="0"/>
          <w:bCs w:val="0"/>
        </w:rPr>
        <w:t xml:space="preserve">ccounting </w:t>
      </w:r>
      <w:r w:rsidR="004C5C07">
        <w:rPr>
          <w:rStyle w:val="Strong"/>
          <w:b w:val="0"/>
          <w:bCs w:val="0"/>
        </w:rPr>
        <w:t>D</w:t>
      </w:r>
      <w:r w:rsidR="009331A7" w:rsidRPr="00C87891">
        <w:rPr>
          <w:rStyle w:val="Strong"/>
          <w:b w:val="0"/>
          <w:bCs w:val="0"/>
        </w:rPr>
        <w:t>ata</w:t>
      </w:r>
      <w:r w:rsidR="00C26A7D" w:rsidRPr="00C87891">
        <w:rPr>
          <w:rStyle w:val="Strong"/>
          <w:b w:val="0"/>
          <w:bCs w:val="0"/>
        </w:rPr>
        <w:t>.</w:t>
      </w:r>
      <w:r w:rsidR="003D2C9D" w:rsidRPr="009E0E53">
        <w:t xml:space="preserve"> </w:t>
      </w:r>
    </w:p>
    <w:p w14:paraId="501621FE" w14:textId="6FB9F7A6" w:rsidR="00D07940" w:rsidRPr="004B76D5" w:rsidRDefault="004B76D5" w:rsidP="00110580">
      <w:pPr>
        <w:rPr>
          <w:rStyle w:val="Strong"/>
        </w:rPr>
      </w:pPr>
      <w:r w:rsidRPr="004B76D5">
        <w:rPr>
          <w:rStyle w:val="Strong"/>
        </w:rPr>
        <w:lastRenderedPageBreak/>
        <w:t xml:space="preserve">Frequency </w:t>
      </w:r>
      <w:r>
        <w:rPr>
          <w:rStyle w:val="Strong"/>
        </w:rPr>
        <w:t>C</w:t>
      </w:r>
      <w:r w:rsidRPr="004B76D5">
        <w:rPr>
          <w:rStyle w:val="Strong"/>
        </w:rPr>
        <w:t xml:space="preserve">ontainment </w:t>
      </w:r>
      <w:r>
        <w:rPr>
          <w:rStyle w:val="Strong"/>
        </w:rPr>
        <w:t>P</w:t>
      </w:r>
      <w:r w:rsidRPr="004B76D5">
        <w:rPr>
          <w:rStyle w:val="Strong"/>
        </w:rPr>
        <w:t xml:space="preserve">rocess </w:t>
      </w:r>
      <w:r>
        <w:rPr>
          <w:rStyle w:val="Strong"/>
        </w:rPr>
        <w:t>E</w:t>
      </w:r>
      <w:r w:rsidRPr="004B76D5">
        <w:rPr>
          <w:rStyle w:val="Strong"/>
        </w:rPr>
        <w:t>nergy</w:t>
      </w:r>
      <w:r w:rsidR="0037032E">
        <w:rPr>
          <w:rStyle w:val="Strong"/>
        </w:rPr>
        <w:t xml:space="preserve"> or FCP Energy</w:t>
      </w:r>
      <w:r w:rsidRPr="004B76D5">
        <w:rPr>
          <w:rStyle w:val="Strong"/>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FCP</m:t>
            </m:r>
          </m:sub>
        </m:sSub>
      </m:oMath>
    </w:p>
    <w:p w14:paraId="493AB945" w14:textId="0F04F29F" w:rsidR="00D07940" w:rsidRDefault="00D26D46" w:rsidP="004B76D5">
      <w:pPr>
        <w:rPr>
          <w:rStyle w:val="Strong"/>
          <w:b w:val="0"/>
          <w:bCs w:val="0"/>
        </w:rPr>
      </w:pP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FCP</m:t>
            </m:r>
          </m:sub>
        </m:sSub>
      </m:oMath>
      <w:r w:rsidR="004B76D5">
        <w:rPr>
          <w:rStyle w:val="Strong"/>
        </w:rPr>
        <w:t xml:space="preserve"> </w:t>
      </w:r>
      <w:r w:rsidR="004B76D5" w:rsidRPr="00035040">
        <w:rPr>
          <w:rStyle w:val="Strong"/>
          <w:b w:val="0"/>
          <w:bCs w:val="0"/>
        </w:rPr>
        <w:t>refers to</w:t>
      </w:r>
      <w:r w:rsidR="004B76D5">
        <w:rPr>
          <w:rStyle w:val="Strong"/>
        </w:rPr>
        <w:t xml:space="preserve"> </w:t>
      </w:r>
      <w:r w:rsidR="00D07940" w:rsidRPr="00035040">
        <w:rPr>
          <w:rStyle w:val="Strong"/>
          <w:b w:val="0"/>
          <w:bCs w:val="0"/>
        </w:rPr>
        <w:t xml:space="preserve">the </w:t>
      </w:r>
      <w:r w:rsidR="004B76D5" w:rsidRPr="004B76D5">
        <w:rPr>
          <w:rStyle w:val="Strong"/>
          <w:b w:val="0"/>
          <w:bCs w:val="0"/>
        </w:rPr>
        <w:t>intended exchanges of</w:t>
      </w:r>
      <w:r w:rsidR="00D07940" w:rsidRPr="00035040">
        <w:rPr>
          <w:rStyle w:val="Strong"/>
          <w:b w:val="0"/>
          <w:bCs w:val="0"/>
        </w:rPr>
        <w:t xml:space="preserve"> energy</w:t>
      </w:r>
      <w:r w:rsidR="004B76D5">
        <w:rPr>
          <w:rStyle w:val="Strong"/>
          <w:b w:val="0"/>
          <w:bCs w:val="0"/>
        </w:rPr>
        <w:t xml:space="preserve"> </w:t>
      </w:r>
      <w:r w:rsidR="00D07940" w:rsidRPr="00035040">
        <w:rPr>
          <w:rStyle w:val="Strong"/>
          <w:b w:val="0"/>
          <w:bCs w:val="0"/>
        </w:rPr>
        <w:t>as</w:t>
      </w:r>
      <w:r w:rsidR="004B76D5">
        <w:rPr>
          <w:rStyle w:val="Strong"/>
          <w:b w:val="0"/>
          <w:bCs w:val="0"/>
        </w:rPr>
        <w:t xml:space="preserve"> </w:t>
      </w:r>
      <w:r w:rsidR="00D07940" w:rsidRPr="00035040">
        <w:rPr>
          <w:rStyle w:val="Strong"/>
          <w:b w:val="0"/>
          <w:bCs w:val="0"/>
        </w:rPr>
        <w:t>a result of</w:t>
      </w:r>
      <w:r w:rsidR="004B76D5">
        <w:rPr>
          <w:rStyle w:val="Strong"/>
          <w:b w:val="0"/>
          <w:bCs w:val="0"/>
        </w:rPr>
        <w:t xml:space="preserve"> </w:t>
      </w:r>
      <w:r w:rsidR="00D07940" w:rsidRPr="00035040">
        <w:rPr>
          <w:rStyle w:val="Strong"/>
          <w:b w:val="0"/>
          <w:bCs w:val="0"/>
        </w:rPr>
        <w:t>frequency contain</w:t>
      </w:r>
      <w:r w:rsidR="007A5BBA">
        <w:rPr>
          <w:rStyle w:val="Strong"/>
          <w:b w:val="0"/>
          <w:bCs w:val="0"/>
        </w:rPr>
        <w:t>m</w:t>
      </w:r>
      <w:r w:rsidR="00D07940" w:rsidRPr="00035040">
        <w:rPr>
          <w:rStyle w:val="Strong"/>
          <w:b w:val="0"/>
          <w:bCs w:val="0"/>
        </w:rPr>
        <w:t>ent   process</w:t>
      </w:r>
      <w:r w:rsidR="004B76D5">
        <w:rPr>
          <w:rStyle w:val="Strong"/>
          <w:b w:val="0"/>
          <w:bCs w:val="0"/>
        </w:rPr>
        <w:t xml:space="preserve">. </w:t>
      </w:r>
      <w:r w:rsidR="004B76D5" w:rsidRPr="004B76D5">
        <w:rPr>
          <w:rStyle w:val="Strong"/>
          <w:b w:val="0"/>
          <w:bCs w:val="0"/>
        </w:rPr>
        <w:t>It</w:t>
      </w:r>
      <w:r w:rsidR="004B76D5">
        <w:rPr>
          <w:rStyle w:val="Strong"/>
          <w:b w:val="0"/>
          <w:bCs w:val="0"/>
        </w:rPr>
        <w:t xml:space="preserve"> </w:t>
      </w:r>
      <w:r w:rsidR="004B76D5" w:rsidRPr="004B76D5">
        <w:rPr>
          <w:rStyle w:val="Strong"/>
          <w:b w:val="0"/>
          <w:bCs w:val="0"/>
        </w:rPr>
        <w:t xml:space="preserve">is  equal  to  the  product  of  the  notified  K-factor  with  the </w:t>
      </w:r>
      <w:r w:rsidR="004B76D5">
        <w:rPr>
          <w:rStyle w:val="Strong"/>
          <w:b w:val="0"/>
          <w:bCs w:val="0"/>
        </w:rPr>
        <w:t>a</w:t>
      </w:r>
      <w:r w:rsidR="004B76D5" w:rsidRPr="004B76D5">
        <w:rPr>
          <w:rStyle w:val="Strong"/>
          <w:b w:val="0"/>
          <w:bCs w:val="0"/>
        </w:rPr>
        <w:t>verage frequency deviation for each TSO-TSO settlement period and each LFC area.</w:t>
      </w:r>
      <w:r w:rsidR="004B76D5">
        <w:rPr>
          <w:rStyle w:val="Strong"/>
          <w:b w:val="0"/>
          <w:bCs w:val="0"/>
        </w:rPr>
        <w:t xml:space="preserve"> </w:t>
      </w:r>
    </w:p>
    <w:p w14:paraId="1FE64F62" w14:textId="77777777" w:rsidR="004B76D5" w:rsidRDefault="004B76D5">
      <w:r w:rsidRPr="009E0E53">
        <w:rPr>
          <w:b/>
          <w:bCs/>
        </w:rPr>
        <w:t>K-factor</w:t>
      </w:r>
      <w:r w:rsidRPr="009E0E53">
        <w:t>. K-factor represents the assumed reaction of a LFC area/block to a frequency deviation. Defined in the SOGL as a value expressed in Megawatts per Hertz (‘MW/Hz’), which is as close as practical to, or greater than the sum of the auto-control of generation, self-regulation of load and of the contribution of frequency containment reserve relative to the maximum steady-state frequency deviation. The K-factors are provided by each TSO for its own LFC area/block.</w:t>
      </w:r>
    </w:p>
    <w:p w14:paraId="61801E78" w14:textId="6333A4E4" w:rsidR="004B76D5" w:rsidRDefault="004B76D5">
      <w:r w:rsidRPr="009E0E53">
        <w:rPr>
          <w:b/>
          <w:bCs/>
        </w:rPr>
        <w:t>Δ</w:t>
      </w:r>
      <w:r w:rsidRPr="009E0E53">
        <w:rPr>
          <w:b/>
          <w:bCs/>
          <w:i/>
          <w:iCs/>
        </w:rPr>
        <w:t>f</w:t>
      </w:r>
      <w:r w:rsidRPr="009E0E53">
        <w:t xml:space="preserve"> (frequency deviation). The Δ</w:t>
      </w:r>
      <w:r w:rsidRPr="009E0E53">
        <w:rPr>
          <w:i/>
          <w:iCs/>
        </w:rPr>
        <w:t>f</w:t>
      </w:r>
      <w:r w:rsidRPr="009E0E53">
        <w:t xml:space="preserve"> represents the average value of the </w:t>
      </w:r>
      <w:r w:rsidR="002B0553" w:rsidRPr="009E0E53">
        <w:t xml:space="preserve">secondly </w:t>
      </w:r>
      <w:r w:rsidRPr="009E0E53">
        <w:t xml:space="preserve">frequency deviations </w:t>
      </w:r>
      <w:r w:rsidR="002B0553" w:rsidRPr="009E0E53">
        <w:t xml:space="preserve">relative to the nominal system frequency </w:t>
      </w:r>
      <w:r w:rsidRPr="009E0E53">
        <w:t>in the Synchronous Area per TSO-TSO settlement period. The value of Δ</w:t>
      </w:r>
      <w:r w:rsidRPr="009E0E53">
        <w:rPr>
          <w:i/>
          <w:iCs/>
        </w:rPr>
        <w:t>f</w:t>
      </w:r>
      <w:r w:rsidRPr="009E0E53">
        <w:t xml:space="preserve"> is expressed in mHz.</w:t>
      </w:r>
    </w:p>
    <w:p w14:paraId="4F49A973" w14:textId="2001FD0F" w:rsidR="002B0553" w:rsidRPr="002B0553" w:rsidRDefault="002B0553" w:rsidP="00817ED3">
      <w:pPr>
        <w:rPr>
          <w:rFonts w:cstheme="minorHAnsi"/>
        </w:rPr>
      </w:pPr>
      <m:oMathPara>
        <m:oMath>
          <m:r>
            <w:rPr>
              <w:rFonts w:ascii="Cambria Math" w:hAnsi="Cambria Math" w:cstheme="minorHAnsi"/>
            </w:rPr>
            <m:t>∆f=</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measured</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oMath>
      </m:oMathPara>
    </w:p>
    <w:p w14:paraId="0755E811" w14:textId="5E9627F3" w:rsidR="002B0553" w:rsidRPr="00B251A5" w:rsidRDefault="002B0553">
      <w:r w:rsidRPr="009E0E53">
        <w:t xml:space="preserve">Where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measured</m:t>
            </m:r>
          </m:sub>
        </m:sSub>
      </m:oMath>
      <w:r w:rsidRPr="009E0E53">
        <w:t xml:space="preserve"> is the average measured value of the frequency per TSO-TSO settlement period in the Laufenburg node of the Synchronous Area. </w:t>
      </w:r>
    </w:p>
    <w:p w14:paraId="2D9C4298" w14:textId="48A849A6" w:rsidR="004B76D5" w:rsidRDefault="004B76D5" w:rsidP="00110580">
      <w:pPr>
        <w:rPr>
          <w:rStyle w:val="Strong"/>
        </w:rPr>
      </w:pPr>
      <w:r>
        <w:rPr>
          <w:rStyle w:val="Strong"/>
        </w:rPr>
        <w:t>Ramping Period Energy</w:t>
      </w:r>
      <w:r w:rsidR="0037032E">
        <w:rPr>
          <w:rStyle w:val="Strong"/>
        </w:rPr>
        <w:t xml:space="preserve"> or RP Energy</w:t>
      </w:r>
      <w:r>
        <w:rPr>
          <w:rStyle w:val="Strong"/>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RP</m:t>
            </m:r>
          </m:sub>
        </m:sSub>
      </m:oMath>
    </w:p>
    <w:p w14:paraId="646E6058" w14:textId="453C0DE9" w:rsidR="004B76D5" w:rsidRPr="002B0553" w:rsidRDefault="004B76D5" w:rsidP="004B76D5">
      <w:pPr>
        <w:rPr>
          <w:rStyle w:val="Strong"/>
          <w:b w:val="0"/>
          <w:bCs w:val="0"/>
        </w:rPr>
      </w:pPr>
      <w:r w:rsidRPr="002B0553">
        <w:rPr>
          <w:rStyle w:val="Strong"/>
          <w:b w:val="0"/>
          <w:bCs w:val="0"/>
        </w:rPr>
        <w:t>Energy  exchanged  as  a  result  of  ramping  between  different ANES  values  (ANES n-1   and  ANES n ,  where  n  and  n-1  refer  to  adjacent  TSO-TSO  settlement periods). The RP energy is the difference between a step change and a ramped change, where the ramp is linear starting 5 minutes before the change and ending 5 minutes after the change.</w:t>
      </w:r>
    </w:p>
    <w:p w14:paraId="340E66E3" w14:textId="7346EAE8" w:rsidR="00110580" w:rsidRPr="00B51B29" w:rsidRDefault="00110580" w:rsidP="00110580">
      <w:pPr>
        <w:rPr>
          <w:rStyle w:val="Strong"/>
        </w:rPr>
      </w:pPr>
      <w:r>
        <w:rPr>
          <w:rStyle w:val="Strong"/>
        </w:rPr>
        <w:t>Unintended Energy E</w:t>
      </w:r>
      <w:r w:rsidRPr="002351DF">
        <w:rPr>
          <w:rStyle w:val="Strong"/>
        </w:rPr>
        <w:t>xchange</w:t>
      </w:r>
      <w:r w:rsidR="0037032E">
        <w:rPr>
          <w:rStyle w:val="Strong"/>
        </w:rPr>
        <w:t xml:space="preserve"> or UE Energy</w:t>
      </w:r>
      <w:r>
        <w:rPr>
          <w:rStyle w:val="Strong"/>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w:r w:rsidR="001A6B98">
        <w:rPr>
          <w:rStyle w:val="Strong"/>
          <w:b w:val="0"/>
          <w:bCs w:val="0"/>
        </w:rPr>
        <w:t xml:space="preserve"> </w:t>
      </w:r>
    </w:p>
    <w:p w14:paraId="764C562C" w14:textId="42021410" w:rsidR="00110580" w:rsidRPr="00C32158" w:rsidRDefault="00110580" w:rsidP="003E0E00">
      <w:pPr>
        <w:rPr>
          <w:rStyle w:val="Strong"/>
          <w:b w:val="0"/>
          <w:bCs w:val="0"/>
          <w:lang w:val="en-US"/>
        </w:rPr>
      </w:pPr>
      <w:r w:rsidRPr="00C32158">
        <w:rPr>
          <w:rStyle w:val="Strong"/>
          <w:b w:val="0"/>
          <w:bCs w:val="0"/>
          <w:lang w:val="en-US"/>
        </w:rPr>
        <w:t xml:space="preserve">This means the unintended cross-border exchange of energy according to EBGL.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w:r w:rsidRPr="00C32158">
        <w:rPr>
          <w:rStyle w:val="Strong"/>
          <w:b w:val="0"/>
          <w:bCs w:val="0"/>
          <w:lang w:val="en-US"/>
        </w:rPr>
        <w:t xml:space="preserve"> is equal to the remaining energy exchanges, which are not included </w:t>
      </w:r>
      <w:r w:rsidR="002B0553">
        <w:rPr>
          <w:rStyle w:val="Strong"/>
          <w:b w:val="0"/>
          <w:bCs w:val="0"/>
          <w:lang w:val="en-US"/>
        </w:rPr>
        <w:t xml:space="preserve">due to </w:t>
      </w:r>
      <w:r w:rsidRPr="00C32158">
        <w:rPr>
          <w:rStyle w:val="Strong"/>
          <w:b w:val="0"/>
          <w:bCs w:val="0"/>
          <w:lang w:val="en-US"/>
        </w:rPr>
        <w:t>the verified ANES, the virtual tie-line exchanges, the delivery of FCR (FCP energy) or the realization of ramps in the control programs (RP energy).</w:t>
      </w:r>
    </w:p>
    <w:p w14:paraId="178409D0" w14:textId="619BCA3F" w:rsidR="00E97D5C" w:rsidRPr="00C87891" w:rsidRDefault="00AF664C" w:rsidP="00C26A7D">
      <w:pPr>
        <w:pStyle w:val="Heading3"/>
      </w:pPr>
      <w:bookmarkStart w:id="22" w:name="_Toc54000657"/>
      <w:bookmarkStart w:id="23" w:name="_Toc54000658"/>
      <w:bookmarkStart w:id="24" w:name="_Toc54000659"/>
      <w:bookmarkStart w:id="25" w:name="_Toc107495703"/>
      <w:bookmarkEnd w:id="22"/>
      <w:bookmarkEnd w:id="23"/>
      <w:bookmarkEnd w:id="24"/>
      <w:r w:rsidRPr="00C87891">
        <w:t>Meter Measurement Data</w:t>
      </w:r>
      <w:bookmarkEnd w:id="25"/>
    </w:p>
    <w:p w14:paraId="3F79344C" w14:textId="046EB7C1" w:rsidR="00E074EA" w:rsidRPr="00C87891" w:rsidRDefault="00E97D5C" w:rsidP="003E0E00">
      <w:r w:rsidRPr="00C87891">
        <w:t xml:space="preserve">The physical energy exchange is registered per </w:t>
      </w:r>
      <w:r w:rsidR="00B5082A" w:rsidRPr="00C87891">
        <w:t>Tie-Line</w:t>
      </w:r>
      <w:r w:rsidRPr="00C87891">
        <w:t xml:space="preserve">, by meter devices installed at substations, which are located at </w:t>
      </w:r>
      <w:r w:rsidR="00D5761B">
        <w:t>each</w:t>
      </w:r>
      <w:r w:rsidR="00D5761B" w:rsidRPr="00C87891">
        <w:t xml:space="preserve"> </w:t>
      </w:r>
      <w:r w:rsidRPr="00C87891">
        <w:t xml:space="preserve">end of the </w:t>
      </w:r>
      <w:r w:rsidR="00B5082A" w:rsidRPr="00C87891">
        <w:t>Tie-Line</w:t>
      </w:r>
      <w:r w:rsidRPr="00C87891">
        <w:t xml:space="preserve">. There </w:t>
      </w:r>
      <w:r w:rsidR="004D3CA6" w:rsidRPr="00C87891">
        <w:t xml:space="preserve">must be </w:t>
      </w:r>
      <w:r w:rsidRPr="00C87891">
        <w:t xml:space="preserve">at least one main meter device and up to “n” back up meter devices per </w:t>
      </w:r>
      <w:r w:rsidR="00B5082A" w:rsidRPr="00C87891">
        <w:t>Tie-Line</w:t>
      </w:r>
      <w:r w:rsidR="00D5761B">
        <w:t xml:space="preserve"> on each end of the Tie-Line</w:t>
      </w:r>
      <w:r w:rsidRPr="00C87891">
        <w:t>.</w:t>
      </w:r>
    </w:p>
    <w:p w14:paraId="27D8293E" w14:textId="77777777" w:rsidR="00E97D5C" w:rsidRPr="00C87891" w:rsidRDefault="00075863" w:rsidP="00C26A7D">
      <w:pPr>
        <w:pStyle w:val="Heading3"/>
      </w:pPr>
      <w:bookmarkStart w:id="26" w:name="_Toc107495704"/>
      <w:r w:rsidRPr="00C87891">
        <w:t>Accounting Point</w:t>
      </w:r>
      <w:bookmarkEnd w:id="26"/>
    </w:p>
    <w:p w14:paraId="2AB2FD00" w14:textId="2127F489" w:rsidR="00E97D5C" w:rsidRPr="00C87891" w:rsidRDefault="00E97D5C" w:rsidP="003E0E00">
      <w:r w:rsidRPr="00C87891">
        <w:t xml:space="preserve">The </w:t>
      </w:r>
      <w:r w:rsidR="00B5082A" w:rsidRPr="00C87891">
        <w:t>Accounting Point</w:t>
      </w:r>
      <w:r w:rsidRPr="00C87891">
        <w:t xml:space="preserve"> is the agreed energy delivery point between two TSOs. </w:t>
      </w:r>
      <w:r w:rsidR="00914230">
        <w:t xml:space="preserve">The </w:t>
      </w:r>
      <w:r w:rsidR="00E71E9F">
        <w:t>A</w:t>
      </w:r>
      <w:r w:rsidR="00914230">
        <w:t xml:space="preserve">ccounting </w:t>
      </w:r>
      <w:r w:rsidR="00E71E9F">
        <w:t>P</w:t>
      </w:r>
      <w:r w:rsidR="00914230">
        <w:t xml:space="preserve">oint can be placed anywhere on the Tie-Line in accordance </w:t>
      </w:r>
      <w:r w:rsidR="00E71E9F">
        <w:t>with</w:t>
      </w:r>
      <w:r w:rsidR="00914230">
        <w:t xml:space="preserve"> the agreement between </w:t>
      </w:r>
      <w:r w:rsidR="00E71E9F">
        <w:t>two TSOs. Based on the position of Accounting Point, Accounting Data for this Accounting Point is calculated.</w:t>
      </w:r>
      <w:r w:rsidR="00914230">
        <w:t xml:space="preserve"> </w:t>
      </w:r>
      <w:r w:rsidRPr="00C87891">
        <w:t xml:space="preserve">There must be only a single </w:t>
      </w:r>
      <w:r w:rsidR="00B5082A" w:rsidRPr="00C87891">
        <w:t>Accounting Point</w:t>
      </w:r>
      <w:r w:rsidRPr="00C87891">
        <w:t xml:space="preserve"> per </w:t>
      </w:r>
      <w:r w:rsidR="00B5082A" w:rsidRPr="00C87891">
        <w:t>Tie-Line</w:t>
      </w:r>
      <w:r w:rsidRPr="00C87891">
        <w:t xml:space="preserve">. </w:t>
      </w:r>
    </w:p>
    <w:p w14:paraId="2FA0BBCC" w14:textId="77777777" w:rsidR="00B83F25" w:rsidRPr="00C87891" w:rsidRDefault="00E97D5C" w:rsidP="003E0E00">
      <w:r w:rsidRPr="00C87891">
        <w:t xml:space="preserve">In case of a </w:t>
      </w:r>
      <w:r w:rsidR="00B5082A" w:rsidRPr="00C87891">
        <w:t>Virtual Tie-Line</w:t>
      </w:r>
      <w:r w:rsidR="0080135A" w:rsidRPr="00C87891">
        <w:t>,</w:t>
      </w:r>
      <w:r w:rsidRPr="00C87891">
        <w:t xml:space="preserve"> the </w:t>
      </w:r>
      <w:r w:rsidR="00B83F25" w:rsidRPr="00C87891">
        <w:t>location of</w:t>
      </w:r>
      <w:r w:rsidR="0080135A" w:rsidRPr="00C87891">
        <w:t xml:space="preserve"> the</w:t>
      </w:r>
      <w:r w:rsidR="00B83F25" w:rsidRPr="00C87891">
        <w:t xml:space="preserve"> </w:t>
      </w:r>
      <w:r w:rsidR="00B5082A" w:rsidRPr="00C87891">
        <w:t>Accounting Point</w:t>
      </w:r>
      <w:r w:rsidRPr="00C87891">
        <w:t xml:space="preserve"> is </w:t>
      </w:r>
      <w:r w:rsidR="00B83F25" w:rsidRPr="00C87891">
        <w:t>agreed bilaterally between adjacent TSOs</w:t>
      </w:r>
      <w:r w:rsidRPr="00C87891">
        <w:t xml:space="preserve">. </w:t>
      </w:r>
      <w:r w:rsidR="004D3CA6" w:rsidRPr="00C87891">
        <w:t>The</w:t>
      </w:r>
      <w:r w:rsidRPr="00C87891">
        <w:t xml:space="preserve"> power flows of the TSOs </w:t>
      </w:r>
      <w:r w:rsidR="004D3CA6" w:rsidRPr="00C87891">
        <w:t xml:space="preserve">can also be </w:t>
      </w:r>
      <w:r w:rsidRPr="00C87891">
        <w:t>based on values which are agreed</w:t>
      </w:r>
      <w:r w:rsidR="004D3CA6" w:rsidRPr="00C87891">
        <w:t xml:space="preserve"> upon</w:t>
      </w:r>
      <w:r w:rsidRPr="00C87891">
        <w:t xml:space="preserve"> between the involved TSOs and </w:t>
      </w:r>
      <w:r w:rsidR="004D3CA6" w:rsidRPr="00C87891">
        <w:t xml:space="preserve">are </w:t>
      </w:r>
      <w:r w:rsidRPr="00C87891">
        <w:t>cons</w:t>
      </w:r>
      <w:r w:rsidR="003E0E00" w:rsidRPr="00C87891">
        <w:t xml:space="preserve">idered </w:t>
      </w:r>
      <w:r w:rsidR="00673708" w:rsidRPr="00C87891">
        <w:t xml:space="preserve">in the </w:t>
      </w:r>
      <w:r w:rsidR="00B5082A" w:rsidRPr="00C87891">
        <w:t>Accounting Process</w:t>
      </w:r>
      <w:r w:rsidR="003E0E00" w:rsidRPr="00C87891">
        <w:t xml:space="preserve">. </w:t>
      </w:r>
    </w:p>
    <w:p w14:paraId="44514FEF" w14:textId="77777777" w:rsidR="00E97D5C" w:rsidRPr="00C87891" w:rsidRDefault="00075863" w:rsidP="00C26A7D">
      <w:pPr>
        <w:pStyle w:val="Heading3"/>
      </w:pPr>
      <w:bookmarkStart w:id="27" w:name="_Toc107495705"/>
      <w:r w:rsidRPr="00C87891">
        <w:lastRenderedPageBreak/>
        <w:t>Accounting Data</w:t>
      </w:r>
      <w:bookmarkEnd w:id="27"/>
    </w:p>
    <w:p w14:paraId="7E7460F5" w14:textId="270EA674" w:rsidR="00E97D5C" w:rsidRPr="00C87891" w:rsidRDefault="00E97D5C" w:rsidP="00956C1C">
      <w:r w:rsidRPr="00C87891">
        <w:t xml:space="preserve">Accounting Data </w:t>
      </w:r>
      <w:r w:rsidR="00914230">
        <w:t>for each Tie-Line</w:t>
      </w:r>
      <w:r w:rsidRPr="00C87891">
        <w:t xml:space="preserve"> is the result of an agreement between two TSOs</w:t>
      </w:r>
      <w:r w:rsidR="00B5082A" w:rsidRPr="00C87891">
        <w:t xml:space="preserve">. One TSO proposes the values using the </w:t>
      </w:r>
      <w:r w:rsidR="0032136B">
        <w:t xml:space="preserve">rules described in </w:t>
      </w:r>
      <w:r w:rsidR="0032136B">
        <w:fldChar w:fldCharType="begin"/>
      </w:r>
      <w:r w:rsidR="0032136B">
        <w:instrText xml:space="preserve"> REF _Ref57884817 \r \h </w:instrText>
      </w:r>
      <w:r w:rsidR="0032136B">
        <w:fldChar w:fldCharType="separate"/>
      </w:r>
      <w:r w:rsidR="00D26D46">
        <w:t>C-5-2</w:t>
      </w:r>
      <w:r w:rsidR="0032136B">
        <w:fldChar w:fldCharType="end"/>
      </w:r>
      <w:r w:rsidR="00B5082A" w:rsidRPr="00C87891">
        <w:t>, and the second T</w:t>
      </w:r>
      <w:r w:rsidR="00086B6D" w:rsidRPr="00C87891">
        <w:t>SO confirms the proposed values</w:t>
      </w:r>
      <w:r w:rsidRPr="00C87891">
        <w:t>.</w:t>
      </w:r>
    </w:p>
    <w:p w14:paraId="51B88EBD" w14:textId="77777777" w:rsidR="00585CA5" w:rsidRPr="00C87891" w:rsidRDefault="004D3CA6" w:rsidP="00956C1C">
      <w:r w:rsidRPr="00C87891">
        <w:t xml:space="preserve">Accounting data is </w:t>
      </w:r>
      <w:r w:rsidR="00B5082A" w:rsidRPr="00C87891">
        <w:t>derived from validated metered data</w:t>
      </w:r>
      <w:r w:rsidRPr="00C87891">
        <w:t xml:space="preserve"> </w:t>
      </w:r>
      <w:r w:rsidR="00585CA5" w:rsidRPr="00C87891">
        <w:t>in one of the</w:t>
      </w:r>
      <w:r w:rsidRPr="00C87891">
        <w:t xml:space="preserve"> follow</w:t>
      </w:r>
      <w:r w:rsidR="00585CA5" w:rsidRPr="00C87891">
        <w:t>ing ways</w:t>
      </w:r>
      <w:r w:rsidR="00B5082A" w:rsidRPr="00C87891">
        <w:t xml:space="preserve"> (as agreed upon between TSOs sharing a Tie-Line)</w:t>
      </w:r>
      <w:r w:rsidRPr="00C87891">
        <w:t>:</w:t>
      </w:r>
    </w:p>
    <w:p w14:paraId="3048CCB1" w14:textId="77777777" w:rsidR="00585CA5" w:rsidRPr="00C87891" w:rsidRDefault="00E97D5C" w:rsidP="00E25898">
      <w:pPr>
        <w:pStyle w:val="ListParagraph"/>
        <w:numPr>
          <w:ilvl w:val="0"/>
          <w:numId w:val="46"/>
        </w:numPr>
      </w:pPr>
      <w:r w:rsidRPr="00C87891">
        <w:t>one to one copy of the meter me</w:t>
      </w:r>
      <w:r w:rsidR="003E0E00" w:rsidRPr="00C87891">
        <w:t>asurement data (located at the accounting p</w:t>
      </w:r>
      <w:r w:rsidRPr="00C87891">
        <w:t>oint)</w:t>
      </w:r>
      <w:r w:rsidR="00585CA5" w:rsidRPr="00C87891">
        <w:t>,</w:t>
      </w:r>
    </w:p>
    <w:p w14:paraId="73E16895" w14:textId="77777777" w:rsidR="00585CA5" w:rsidRPr="00C87891" w:rsidRDefault="00E97D5C" w:rsidP="00E25898">
      <w:pPr>
        <w:pStyle w:val="ListParagraph"/>
        <w:numPr>
          <w:ilvl w:val="0"/>
          <w:numId w:val="46"/>
        </w:numPr>
      </w:pPr>
      <w:r w:rsidRPr="00C87891">
        <w:t>a calculation using a given</w:t>
      </w:r>
      <w:r w:rsidR="004D3CA6" w:rsidRPr="00C87891">
        <w:t xml:space="preserve"> formula,</w:t>
      </w:r>
      <w:r w:rsidR="00B5082A" w:rsidRPr="00C87891">
        <w:t xml:space="preserve"> and </w:t>
      </w:r>
      <w:r w:rsidR="00585CA5" w:rsidRPr="00C87891">
        <w:t xml:space="preserve">either </w:t>
      </w:r>
      <w:r w:rsidRPr="00C87891">
        <w:t>one</w:t>
      </w:r>
      <w:r w:rsidR="00086DD9">
        <w:t xml:space="preserve"> or</w:t>
      </w:r>
      <w:r w:rsidRPr="00C87891">
        <w:t xml:space="preserve"> mor</w:t>
      </w:r>
      <w:r w:rsidR="00D52FB1" w:rsidRPr="00C87891">
        <w:t>e meter measurement data (e.g. i</w:t>
      </w:r>
      <w:r w:rsidRPr="00C87891">
        <w:t xml:space="preserve">n order to consider line losses). </w:t>
      </w:r>
    </w:p>
    <w:p w14:paraId="29760481" w14:textId="77777777" w:rsidR="00E97D5C" w:rsidRPr="00C87891" w:rsidRDefault="00E97D5C" w:rsidP="00585CA5">
      <w:r w:rsidRPr="00C87891">
        <w:t xml:space="preserve">Accounting data is considered as a value per </w:t>
      </w:r>
      <w:r w:rsidR="00B5082A" w:rsidRPr="00C87891">
        <w:t>Tie</w:t>
      </w:r>
      <w:r w:rsidR="003E0E00" w:rsidRPr="00C87891">
        <w:t>-</w:t>
      </w:r>
      <w:r w:rsidR="00B5082A" w:rsidRPr="00C87891">
        <w:t>Line</w:t>
      </w:r>
      <w:r w:rsidRPr="00C87891">
        <w:t>.</w:t>
      </w:r>
    </w:p>
    <w:p w14:paraId="2F97A3C1" w14:textId="62D97668" w:rsidR="003F0849" w:rsidRPr="00C87891" w:rsidRDefault="003F0849" w:rsidP="000268E7">
      <w:pPr>
        <w:widowControl w:val="0"/>
        <w:adjustRightInd w:val="0"/>
        <w:spacing w:after="60"/>
        <w:textAlignment w:val="baseline"/>
      </w:pPr>
      <w:r w:rsidRPr="00C87891">
        <w:t xml:space="preserve">Virtual </w:t>
      </w:r>
      <w:r w:rsidR="004D3CA6" w:rsidRPr="00C87891">
        <w:t>T</w:t>
      </w:r>
      <w:r w:rsidRPr="00C87891">
        <w:t>ie</w:t>
      </w:r>
      <w:r w:rsidR="00086B6D" w:rsidRPr="00C87891">
        <w:t>-L</w:t>
      </w:r>
      <w:r w:rsidRPr="00C87891">
        <w:t xml:space="preserve">ines are included in the </w:t>
      </w:r>
      <w:r w:rsidR="00086B6D" w:rsidRPr="00C87891">
        <w:t>Accounting Data</w:t>
      </w:r>
      <w:r w:rsidRPr="00C87891">
        <w:t xml:space="preserve"> </w:t>
      </w:r>
      <w:r w:rsidR="003E0E00" w:rsidRPr="00C87891">
        <w:t xml:space="preserve">and must be considered as </w:t>
      </w:r>
      <w:r w:rsidR="00D52FB1" w:rsidRPr="00C87891">
        <w:t xml:space="preserve">shown in </w:t>
      </w:r>
      <w:r w:rsidR="00D52FB1" w:rsidRPr="00C87891">
        <w:fldChar w:fldCharType="begin"/>
      </w:r>
      <w:r w:rsidR="00D52FB1" w:rsidRPr="00C87891">
        <w:instrText xml:space="preserve"> REF _Ref512260164 \h </w:instrText>
      </w:r>
      <w:r w:rsidR="00C87891">
        <w:instrText xml:space="preserve"> \* MERGEFORMAT </w:instrText>
      </w:r>
      <w:r w:rsidR="00D52FB1" w:rsidRPr="00C87891">
        <w:fldChar w:fldCharType="separate"/>
      </w:r>
      <w:r w:rsidR="00D26D46" w:rsidRPr="00C87891">
        <w:t xml:space="preserve">Figure </w:t>
      </w:r>
      <w:r w:rsidR="00D26D46">
        <w:rPr>
          <w:noProof/>
        </w:rPr>
        <w:t>1</w:t>
      </w:r>
      <w:r w:rsidR="00D52FB1" w:rsidRPr="00C87891">
        <w:fldChar w:fldCharType="end"/>
      </w:r>
      <w:r w:rsidR="003E0E00" w:rsidRPr="00C87891">
        <w:t>.</w:t>
      </w:r>
      <w:r w:rsidR="000268E7" w:rsidRPr="00C87891">
        <w:t xml:space="preserve"> </w:t>
      </w:r>
      <w:r w:rsidRPr="00C87891">
        <w:t xml:space="preserve">The physical energy exchange between LFC </w:t>
      </w:r>
      <w:r w:rsidR="00086B6D" w:rsidRPr="00C87891">
        <w:t>Area</w:t>
      </w:r>
      <w:r w:rsidRPr="00C87891">
        <w:t xml:space="preserve"> 1 an</w:t>
      </w:r>
      <w:r w:rsidR="00086B6D" w:rsidRPr="00C87891">
        <w:t>d LFC Area 2 is measured by M1+</w:t>
      </w:r>
      <w:r w:rsidRPr="00C87891">
        <w:t>M2 and includes the physical flow measured</w:t>
      </w:r>
      <w:r w:rsidR="00D52FB1" w:rsidRPr="00C87891">
        <w:t xml:space="preserve"> by M3. </w:t>
      </w:r>
      <w:r w:rsidR="009331A7" w:rsidRPr="00C87891">
        <w:t>The measurement M3 is used as an offset to the set-po</w:t>
      </w:r>
      <w:r w:rsidR="00CD3529" w:rsidRPr="00C87891">
        <w:t>i</w:t>
      </w:r>
      <w:r w:rsidR="00086B6D" w:rsidRPr="00C87891">
        <w:t xml:space="preserve">nt of the LFC </w:t>
      </w:r>
      <w:r w:rsidR="009331A7" w:rsidRPr="00C87891">
        <w:t xml:space="preserve">Controller. </w:t>
      </w:r>
      <w:r w:rsidR="00AD5F99" w:rsidRPr="00C87891">
        <w:t>Additionally,</w:t>
      </w:r>
      <w:r w:rsidR="009331A7" w:rsidRPr="00C87891">
        <w:t xml:space="preserve"> it must be subtracted from the </w:t>
      </w:r>
      <w:r w:rsidR="00086B6D" w:rsidRPr="00C87891">
        <w:t>Accounting Data</w:t>
      </w:r>
      <w:r w:rsidR="009331A7" w:rsidRPr="00C87891">
        <w:t xml:space="preserve"> for accounting.</w:t>
      </w:r>
    </w:p>
    <w:p w14:paraId="6771E340" w14:textId="77777777" w:rsidR="00150FBE" w:rsidRPr="00C87891" w:rsidRDefault="00150FBE" w:rsidP="000268E7">
      <w:pPr>
        <w:widowControl w:val="0"/>
        <w:adjustRightInd w:val="0"/>
        <w:spacing w:after="60"/>
        <w:textAlignment w:val="baseline"/>
      </w:pPr>
    </w:p>
    <w:p w14:paraId="1727FAAD" w14:textId="77777777" w:rsidR="003F0849" w:rsidRPr="00C87891" w:rsidRDefault="00552E3B" w:rsidP="003F0849">
      <w:r w:rsidRPr="00C87891">
        <w:rPr>
          <w:noProof/>
          <w:lang w:val="de-DE" w:eastAsia="de-DE"/>
        </w:rPr>
        <w:drawing>
          <wp:inline distT="0" distB="0" distL="0" distR="0" wp14:anchorId="61377A9C" wp14:editId="2867ACBB">
            <wp:extent cx="5783032" cy="2241550"/>
            <wp:effectExtent l="0" t="0" r="825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3032" cy="2241550"/>
                    </a:xfrm>
                    <a:prstGeom prst="rect">
                      <a:avLst/>
                    </a:prstGeom>
                    <a:noFill/>
                    <a:ln>
                      <a:noFill/>
                    </a:ln>
                  </pic:spPr>
                </pic:pic>
              </a:graphicData>
            </a:graphic>
          </wp:inline>
        </w:drawing>
      </w:r>
    </w:p>
    <w:p w14:paraId="73C86BF4" w14:textId="4874CFEF" w:rsidR="003F0849" w:rsidRPr="00C87891" w:rsidRDefault="000268E7" w:rsidP="000268E7">
      <w:pPr>
        <w:pStyle w:val="Caption"/>
      </w:pPr>
      <w:bookmarkStart w:id="28" w:name="_Ref512260164"/>
      <w:r w:rsidRPr="00C87891">
        <w:t xml:space="preserve">Figure </w:t>
      </w:r>
      <w:r w:rsidRPr="00C87891">
        <w:fldChar w:fldCharType="begin"/>
      </w:r>
      <w:r w:rsidRPr="00C87891">
        <w:instrText xml:space="preserve"> SEQ Figure \* ARABIC </w:instrText>
      </w:r>
      <w:r w:rsidRPr="00C87891">
        <w:fldChar w:fldCharType="separate"/>
      </w:r>
      <w:r w:rsidR="00D26D46">
        <w:rPr>
          <w:noProof/>
        </w:rPr>
        <w:t>1</w:t>
      </w:r>
      <w:r w:rsidRPr="00C87891">
        <w:fldChar w:fldCharType="end"/>
      </w:r>
      <w:bookmarkEnd w:id="28"/>
      <w:r w:rsidRPr="00C87891">
        <w:t xml:space="preserve">: </w:t>
      </w:r>
      <w:r w:rsidR="003F0849" w:rsidRPr="00C87891">
        <w:t xml:space="preserve">The consideration of </w:t>
      </w:r>
      <w:r w:rsidRPr="00C87891">
        <w:t>virtual tie-line</w:t>
      </w:r>
      <w:r w:rsidR="003F0849" w:rsidRPr="00C87891">
        <w:t xml:space="preserve"> </w:t>
      </w:r>
    </w:p>
    <w:p w14:paraId="6AE256D1" w14:textId="77777777" w:rsidR="00E97D5C" w:rsidRPr="00C87891" w:rsidRDefault="00075863" w:rsidP="00C26A7D">
      <w:pPr>
        <w:pStyle w:val="Heading3"/>
      </w:pPr>
      <w:bookmarkStart w:id="29" w:name="_Ref196724964"/>
      <w:bookmarkStart w:id="30" w:name="_Toc107495706"/>
      <w:r w:rsidRPr="00C87891">
        <w:t>Working day</w:t>
      </w:r>
      <w:bookmarkEnd w:id="30"/>
    </w:p>
    <w:p w14:paraId="387D8DEF" w14:textId="59A2ECE5" w:rsidR="00C672B1" w:rsidRDefault="00E97D5C" w:rsidP="00420BC0">
      <w:r w:rsidRPr="00C87891">
        <w:t>The Working Day is the calendar day except Saturday</w:t>
      </w:r>
      <w:r w:rsidR="00585CA5" w:rsidRPr="00C87891">
        <w:t>s</w:t>
      </w:r>
      <w:r w:rsidRPr="00C87891">
        <w:t>, Sunday</w:t>
      </w:r>
      <w:r w:rsidR="00585CA5" w:rsidRPr="00C87891">
        <w:t>s</w:t>
      </w:r>
      <w:r w:rsidRPr="00C87891">
        <w:t xml:space="preserve"> and 4 holidays: Christmas </w:t>
      </w:r>
      <w:r w:rsidR="004D3CA6" w:rsidRPr="00C87891">
        <w:t>day (</w:t>
      </w:r>
      <w:r w:rsidRPr="00C87891">
        <w:t>25</w:t>
      </w:r>
      <w:r w:rsidRPr="00C87891">
        <w:rPr>
          <w:vertAlign w:val="superscript"/>
        </w:rPr>
        <w:t>th</w:t>
      </w:r>
      <w:r w:rsidRPr="00C87891">
        <w:t xml:space="preserve"> </w:t>
      </w:r>
      <w:r w:rsidR="004D3CA6" w:rsidRPr="00C87891">
        <w:t xml:space="preserve">of </w:t>
      </w:r>
      <w:r w:rsidRPr="00C87891">
        <w:t>December</w:t>
      </w:r>
      <w:r w:rsidR="004D3CA6" w:rsidRPr="00C87891">
        <w:t>)</w:t>
      </w:r>
      <w:r w:rsidRPr="00C87891">
        <w:t>, New Year</w:t>
      </w:r>
      <w:r w:rsidR="004D3CA6" w:rsidRPr="00C87891">
        <w:t>’s day (1</w:t>
      </w:r>
      <w:r w:rsidR="004D3CA6" w:rsidRPr="00C87891">
        <w:rPr>
          <w:vertAlign w:val="superscript"/>
        </w:rPr>
        <w:t>st</w:t>
      </w:r>
      <w:r w:rsidR="004D3CA6" w:rsidRPr="00C87891">
        <w:t xml:space="preserve"> of January)</w:t>
      </w:r>
      <w:r w:rsidRPr="00C87891">
        <w:t>, Easter Monday and Ascension</w:t>
      </w:r>
      <w:r w:rsidR="004D3CA6" w:rsidRPr="00C87891">
        <w:t xml:space="preserve"> </w:t>
      </w:r>
      <w:r w:rsidR="00086B6D" w:rsidRPr="00C87891">
        <w:t>D</w:t>
      </w:r>
      <w:r w:rsidR="004D3CA6" w:rsidRPr="00C87891">
        <w:t>ay</w:t>
      </w:r>
      <w:r w:rsidRPr="00C87891">
        <w:t>.</w:t>
      </w:r>
      <w:bookmarkEnd w:id="29"/>
      <w:r w:rsidRPr="00C87891">
        <w:t xml:space="preserve"> </w:t>
      </w:r>
    </w:p>
    <w:p w14:paraId="359F7482" w14:textId="23F3F51D" w:rsidR="00E43FE3" w:rsidRDefault="00E43FE3" w:rsidP="00E43FE3">
      <w:pPr>
        <w:pStyle w:val="Heading3"/>
      </w:pPr>
      <w:bookmarkStart w:id="31" w:name="_Toc107495707"/>
      <w:r>
        <w:t>Financial settlement</w:t>
      </w:r>
      <w:bookmarkEnd w:id="31"/>
    </w:p>
    <w:p w14:paraId="22E8FA19" w14:textId="3F6F5B8A" w:rsidR="00E43FE3" w:rsidRPr="00E43FE3" w:rsidRDefault="00E43FE3" w:rsidP="004301C4">
      <w:r>
        <w:t>Process established among RG CE TSOs in order to financially compensate the intended exchanges of energy resulting from the frequency containment process and ramping periods, as well as unintended exchanges of energy. The process is the scope of this Policy on Accounting and Settlement.</w:t>
      </w:r>
    </w:p>
    <w:p w14:paraId="43BAD0DB" w14:textId="25CFD61C" w:rsidR="00C672B1" w:rsidRDefault="00C672B1" w:rsidP="00C32158">
      <w:pPr>
        <w:pStyle w:val="Heading3"/>
      </w:pPr>
      <w:bookmarkStart w:id="32" w:name="_Toc107495708"/>
      <w:r>
        <w:t>TSO-TSO Settlement Period</w:t>
      </w:r>
      <w:bookmarkEnd w:id="32"/>
    </w:p>
    <w:p w14:paraId="0C71FCCC" w14:textId="0C419B5F" w:rsidR="00C672B1" w:rsidRDefault="00C672B1">
      <w:r>
        <w:t xml:space="preserve">The TSO-TSO Settlement Period is the resolution or time period for which the Settlement Process is performed. The TSO-TSO Settlement Period corresponds to 15 min. </w:t>
      </w:r>
    </w:p>
    <w:p w14:paraId="0BFBDB2E" w14:textId="77777777" w:rsidR="00C672B1" w:rsidRDefault="00C672B1" w:rsidP="00B21E31">
      <w:pPr>
        <w:pStyle w:val="Heading3"/>
      </w:pPr>
      <w:bookmarkStart w:id="33" w:name="_Toc107495709"/>
      <w:r>
        <w:lastRenderedPageBreak/>
        <w:t>Settlement Price</w:t>
      </w:r>
      <w:bookmarkEnd w:id="33"/>
    </w:p>
    <w:p w14:paraId="5D0A3A4A" w14:textId="17F94823" w:rsidR="00FE25AF" w:rsidRDefault="00C672B1" w:rsidP="00AD04F9">
      <w:r>
        <w:t xml:space="preserve">The Settlement Price is the price for </w:t>
      </w:r>
      <w:r w:rsidR="00733E54">
        <w:t>E</w:t>
      </w:r>
      <w:r w:rsidR="00733E54" w:rsidRPr="0032136B">
        <w:rPr>
          <w:vertAlign w:val="subscript"/>
        </w:rPr>
        <w:t>RP</w:t>
      </w:r>
      <w:r w:rsidR="00733E54">
        <w:t xml:space="preserve">, </w:t>
      </w:r>
      <w:r>
        <w:t xml:space="preserve">FCP Energy and UE used for settling financially the volumes of </w:t>
      </w:r>
      <w:r w:rsidR="00733E54">
        <w:t>E</w:t>
      </w:r>
      <w:r w:rsidR="00733E54" w:rsidRPr="0032136B">
        <w:rPr>
          <w:vertAlign w:val="subscript"/>
        </w:rPr>
        <w:t>RP</w:t>
      </w:r>
      <w:r w:rsidR="00733E54">
        <w:t xml:space="preserve">, </w:t>
      </w:r>
      <w:r>
        <w:t>FCP Energy and UE for each TSO</w:t>
      </w:r>
      <w:r w:rsidR="0037032E">
        <w:t>-TSO settlement period</w:t>
      </w:r>
      <w:r>
        <w:t xml:space="preserve">. </w:t>
      </w:r>
      <w:r w:rsidR="00C161F6">
        <w:t>This is an uniform price for the Synchronous Area with the only exception of the FCP Energy and UE between two LFC Area connected only by HVDC cable for which the price may be different.</w:t>
      </w:r>
    </w:p>
    <w:p w14:paraId="130B9F41" w14:textId="56AF6B65" w:rsidR="00733E54" w:rsidRDefault="00733E54" w:rsidP="00265F08">
      <w:pPr>
        <w:jc w:val="left"/>
      </w:pPr>
      <w:r>
        <w:t>The Settlement Price of E</w:t>
      </w:r>
      <w:r w:rsidRPr="0032136B">
        <w:rPr>
          <w:vertAlign w:val="subscript"/>
        </w:rPr>
        <w:t>RP</w:t>
      </w:r>
      <w:r>
        <w:rPr>
          <w:vertAlign w:val="subscript"/>
        </w:rPr>
        <w:t xml:space="preserve"> </w:t>
      </w:r>
      <w:r w:rsidRPr="0032136B">
        <w:t>is 0€/M</w:t>
      </w:r>
      <w:r w:rsidR="0037032E">
        <w:t>W</w:t>
      </w:r>
      <w:r w:rsidRPr="0032136B">
        <w:t>h</w:t>
      </w:r>
      <w:r>
        <w:t>.</w:t>
      </w:r>
    </w:p>
    <w:p w14:paraId="6C6B1C6B" w14:textId="1E8D01E2" w:rsidR="00FE25AF" w:rsidRDefault="00FE25AF" w:rsidP="00B21E31">
      <w:pPr>
        <w:pStyle w:val="Heading3"/>
      </w:pPr>
      <w:bookmarkStart w:id="34" w:name="_Toc107495710"/>
      <w:r>
        <w:t>Settlement Result</w:t>
      </w:r>
      <w:r w:rsidR="00BE64F2">
        <w:t>s</w:t>
      </w:r>
      <w:bookmarkEnd w:id="34"/>
    </w:p>
    <w:p w14:paraId="1866CBA8" w14:textId="117CB55D" w:rsidR="00C672B1" w:rsidRPr="00C672B1" w:rsidRDefault="00FE25AF" w:rsidP="00C672B1">
      <w:r>
        <w:t>The Settlement Result</w:t>
      </w:r>
      <w:r w:rsidR="00BE64F2">
        <w:t xml:space="preserve">s consist of </w:t>
      </w:r>
      <w:r>
        <w:t>volumes, prices and monetary values</w:t>
      </w:r>
      <w:r w:rsidR="00BE64F2">
        <w:t xml:space="preserve"> (equivalent to the multiplication of volumes and corresponding prices) for each of </w:t>
      </w:r>
      <m:oMath>
        <m:sSub>
          <m:sSubPr>
            <m:ctrlPr>
              <w:rPr>
                <w:rFonts w:ascii="Cambria Math" w:hAnsi="Cambria Math"/>
                <w:i/>
              </w:rPr>
            </m:ctrlPr>
          </m:sSubPr>
          <m:e>
            <m:r>
              <w:rPr>
                <w:rFonts w:ascii="Cambria Math" w:hAnsi="Cambria Math"/>
              </w:rPr>
              <m:t>E</m:t>
            </m:r>
          </m:e>
          <m:sub>
            <m:r>
              <w:rPr>
                <w:rFonts w:ascii="Cambria Math" w:hAnsi="Cambria Math"/>
              </w:rPr>
              <m:t>FCP</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RP</m:t>
            </m:r>
          </m:sub>
        </m:sSub>
      </m:oMath>
      <w:r w:rsidR="00BE64F2">
        <w:t xml:space="preserve"> and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w:r>
        <w:t>.</w:t>
      </w:r>
    </w:p>
    <w:p w14:paraId="0F155D9E" w14:textId="20EF91A6" w:rsidR="000E08B9" w:rsidRDefault="000E08B9" w:rsidP="00632FF6">
      <w:pPr>
        <w:pStyle w:val="Heading3"/>
      </w:pPr>
      <w:bookmarkStart w:id="35" w:name="_Toc107495711"/>
      <w:r>
        <w:t>Settlement Reports</w:t>
      </w:r>
      <w:bookmarkEnd w:id="35"/>
    </w:p>
    <w:p w14:paraId="433DB273" w14:textId="59898D58" w:rsidR="000E08B9" w:rsidRDefault="000E08B9" w:rsidP="000E08B9">
      <w:r>
        <w:t xml:space="preserve">The results of the accounting and </w:t>
      </w:r>
      <w:r w:rsidRPr="00E46554">
        <w:t xml:space="preserve">settlement </w:t>
      </w:r>
      <w:r>
        <w:t xml:space="preserve">processes are summarized into three different reports, which are sent by the </w:t>
      </w:r>
      <w:r w:rsidR="002E2691">
        <w:t>Coordination</w:t>
      </w:r>
      <w:r w:rsidR="008D666C">
        <w:t xml:space="preserve"> Centre</w:t>
      </w:r>
      <w:r>
        <w:t>s</w:t>
      </w:r>
      <w:r w:rsidR="002D5DA3">
        <w:t xml:space="preserve"> (CCs)</w:t>
      </w:r>
      <w:r>
        <w:t xml:space="preserve"> to the TSOs. These reports are the Daily Settlement Report (DSR), the Daily Settlement Prices Report (DSPR) and the Monthly Settlement </w:t>
      </w:r>
      <w:r w:rsidR="0088085A">
        <w:t>Report</w:t>
      </w:r>
      <w:r>
        <w:t xml:space="preserve">(MSR). </w:t>
      </w:r>
      <w:r w:rsidR="00A21E40">
        <w:t>The following table</w:t>
      </w:r>
      <w:r w:rsidRPr="00632FF6">
        <w:rPr>
          <w:color w:val="FF0000"/>
        </w:rPr>
        <w:t xml:space="preserve"> </w:t>
      </w:r>
      <w:r>
        <w:t xml:space="preserve">gives an overview about the contents of the individual reports. </w:t>
      </w:r>
    </w:p>
    <w:p w14:paraId="039DA309" w14:textId="63A27380" w:rsidR="00217FC9" w:rsidRDefault="00217FC9" w:rsidP="00217FC9">
      <w:pPr>
        <w:pStyle w:val="Caption"/>
      </w:pPr>
      <w:r>
        <w:t xml:space="preserve">Table </w:t>
      </w:r>
      <w:r>
        <w:fldChar w:fldCharType="begin"/>
      </w:r>
      <w:r>
        <w:instrText xml:space="preserve"> SEQ Table \* ARABIC </w:instrText>
      </w:r>
      <w:r>
        <w:fldChar w:fldCharType="separate"/>
      </w:r>
      <w:r w:rsidR="00D26D46">
        <w:rPr>
          <w:noProof/>
        </w:rPr>
        <w:t>1</w:t>
      </w:r>
      <w:r>
        <w:fldChar w:fldCharType="end"/>
      </w:r>
      <w:r>
        <w:t>: Content of the settlement reports</w:t>
      </w:r>
    </w:p>
    <w:tbl>
      <w:tblPr>
        <w:tblW w:w="9543" w:type="dxa"/>
        <w:jc w:val="center"/>
        <w:tblCellMar>
          <w:left w:w="70" w:type="dxa"/>
          <w:right w:w="70" w:type="dxa"/>
        </w:tblCellMar>
        <w:tblLook w:val="04A0" w:firstRow="1" w:lastRow="0" w:firstColumn="1" w:lastColumn="0" w:noHBand="0" w:noVBand="1"/>
      </w:tblPr>
      <w:tblGrid>
        <w:gridCol w:w="4983"/>
        <w:gridCol w:w="1520"/>
        <w:gridCol w:w="1520"/>
        <w:gridCol w:w="1520"/>
      </w:tblGrid>
      <w:tr w:rsidR="00DC065A" w:rsidRPr="00DC065A" w14:paraId="6551AEA4" w14:textId="77777777" w:rsidTr="00263072">
        <w:trPr>
          <w:jc w:val="center"/>
        </w:trPr>
        <w:tc>
          <w:tcPr>
            <w:tcW w:w="4983" w:type="dxa"/>
            <w:tcBorders>
              <w:top w:val="single" w:sz="8" w:space="0" w:color="auto"/>
              <w:left w:val="single" w:sz="8" w:space="0" w:color="auto"/>
              <w:bottom w:val="nil"/>
              <w:right w:val="single" w:sz="4" w:space="0" w:color="auto"/>
            </w:tcBorders>
            <w:shd w:val="clear" w:color="auto" w:fill="auto"/>
            <w:noWrap/>
            <w:hideMark/>
          </w:tcPr>
          <w:p w14:paraId="0B59D20C" w14:textId="77777777" w:rsidR="00DC065A" w:rsidRPr="00632FF6" w:rsidRDefault="00DC065A" w:rsidP="00DC065A">
            <w:pPr>
              <w:spacing w:after="0" w:line="240" w:lineRule="auto"/>
              <w:jc w:val="left"/>
              <w:rPr>
                <w:rFonts w:ascii="Calibri" w:eastAsia="Times New Roman" w:hAnsi="Calibri" w:cs="Calibri"/>
                <w:color w:val="000000"/>
                <w:lang w:eastAsia="de-DE"/>
              </w:rPr>
            </w:pPr>
            <w:r w:rsidRPr="00632FF6">
              <w:rPr>
                <w:rFonts w:ascii="Calibri" w:eastAsia="Times New Roman" w:hAnsi="Calibri" w:cs="Calibri"/>
                <w:color w:val="000000"/>
                <w:lang w:eastAsia="de-DE"/>
              </w:rPr>
              <w:t> </w:t>
            </w:r>
          </w:p>
        </w:tc>
        <w:tc>
          <w:tcPr>
            <w:tcW w:w="1520" w:type="dxa"/>
            <w:tcBorders>
              <w:top w:val="single" w:sz="8" w:space="0" w:color="auto"/>
              <w:left w:val="nil"/>
              <w:bottom w:val="nil"/>
              <w:right w:val="single" w:sz="4" w:space="0" w:color="auto"/>
            </w:tcBorders>
            <w:shd w:val="clear" w:color="auto" w:fill="auto"/>
            <w:hideMark/>
          </w:tcPr>
          <w:p w14:paraId="0FDBD65A" w14:textId="77777777" w:rsidR="00DC065A" w:rsidRPr="00632FF6" w:rsidRDefault="00DC065A" w:rsidP="00DC065A">
            <w:pPr>
              <w:spacing w:after="0" w:line="240" w:lineRule="auto"/>
              <w:jc w:val="left"/>
              <w:rPr>
                <w:rFonts w:ascii="Arial" w:eastAsia="Times New Roman" w:hAnsi="Arial" w:cs="Arial"/>
                <w:b/>
                <w:bCs/>
                <w:color w:val="000000"/>
                <w:lang w:eastAsia="de-DE"/>
              </w:rPr>
            </w:pPr>
            <w:r w:rsidRPr="00632FF6">
              <w:rPr>
                <w:rFonts w:ascii="Arial" w:eastAsia="Times New Roman" w:hAnsi="Arial" w:cs="Arial"/>
                <w:b/>
                <w:bCs/>
                <w:color w:val="000000"/>
                <w:lang w:eastAsia="de-DE"/>
              </w:rPr>
              <w:t>Daily Settlement Report (DSR)</w:t>
            </w:r>
          </w:p>
        </w:tc>
        <w:tc>
          <w:tcPr>
            <w:tcW w:w="1520" w:type="dxa"/>
            <w:tcBorders>
              <w:top w:val="single" w:sz="8" w:space="0" w:color="auto"/>
              <w:left w:val="nil"/>
              <w:bottom w:val="nil"/>
              <w:right w:val="single" w:sz="4" w:space="0" w:color="auto"/>
            </w:tcBorders>
            <w:shd w:val="clear" w:color="auto" w:fill="auto"/>
            <w:hideMark/>
          </w:tcPr>
          <w:p w14:paraId="7FBAF2D0" w14:textId="77777777" w:rsidR="00DC065A" w:rsidRPr="00632FF6" w:rsidRDefault="00DC065A" w:rsidP="00DC065A">
            <w:pPr>
              <w:spacing w:after="0" w:line="240" w:lineRule="auto"/>
              <w:jc w:val="left"/>
              <w:rPr>
                <w:rFonts w:ascii="Arial" w:eastAsia="Times New Roman" w:hAnsi="Arial" w:cs="Arial"/>
                <w:b/>
                <w:bCs/>
                <w:color w:val="000000"/>
                <w:lang w:eastAsia="de-DE"/>
              </w:rPr>
            </w:pPr>
            <w:r w:rsidRPr="00632FF6">
              <w:rPr>
                <w:rFonts w:ascii="Arial" w:eastAsia="Times New Roman" w:hAnsi="Arial" w:cs="Arial"/>
                <w:b/>
                <w:bCs/>
                <w:color w:val="000000"/>
                <w:lang w:eastAsia="de-DE"/>
              </w:rPr>
              <w:t>Daily Settlement Prices Report (DSPR)</w:t>
            </w:r>
          </w:p>
        </w:tc>
        <w:tc>
          <w:tcPr>
            <w:tcW w:w="1520" w:type="dxa"/>
            <w:tcBorders>
              <w:top w:val="single" w:sz="8" w:space="0" w:color="auto"/>
              <w:left w:val="nil"/>
              <w:bottom w:val="nil"/>
              <w:right w:val="single" w:sz="8" w:space="0" w:color="auto"/>
            </w:tcBorders>
            <w:shd w:val="clear" w:color="auto" w:fill="auto"/>
            <w:hideMark/>
          </w:tcPr>
          <w:p w14:paraId="420217A3" w14:textId="77777777" w:rsidR="00DC065A" w:rsidRPr="00632FF6" w:rsidRDefault="00DC065A" w:rsidP="00DC065A">
            <w:pPr>
              <w:spacing w:after="0" w:line="240" w:lineRule="auto"/>
              <w:jc w:val="left"/>
              <w:rPr>
                <w:rFonts w:ascii="Arial" w:eastAsia="Times New Roman" w:hAnsi="Arial" w:cs="Arial"/>
                <w:b/>
                <w:bCs/>
                <w:color w:val="000000"/>
                <w:lang w:eastAsia="de-DE"/>
              </w:rPr>
            </w:pPr>
            <w:r w:rsidRPr="00632FF6">
              <w:rPr>
                <w:rFonts w:ascii="Arial" w:eastAsia="Times New Roman" w:hAnsi="Arial" w:cs="Arial"/>
                <w:b/>
                <w:bCs/>
                <w:color w:val="000000"/>
                <w:lang w:eastAsia="de-DE"/>
              </w:rPr>
              <w:t>Monthly Settlement Report (MSR)</w:t>
            </w:r>
          </w:p>
        </w:tc>
      </w:tr>
      <w:tr w:rsidR="00DC065A" w:rsidRPr="00DC065A" w14:paraId="53912C52" w14:textId="77777777" w:rsidTr="00263072">
        <w:trPr>
          <w:jc w:val="center"/>
        </w:trPr>
        <w:tc>
          <w:tcPr>
            <w:tcW w:w="4983" w:type="dxa"/>
            <w:tcBorders>
              <w:top w:val="single" w:sz="4" w:space="0" w:color="auto"/>
              <w:left w:val="single" w:sz="8" w:space="0" w:color="auto"/>
              <w:bottom w:val="single" w:sz="8" w:space="0" w:color="auto"/>
              <w:right w:val="single" w:sz="4" w:space="0" w:color="auto"/>
            </w:tcBorders>
            <w:shd w:val="clear" w:color="auto" w:fill="auto"/>
            <w:noWrap/>
            <w:hideMark/>
          </w:tcPr>
          <w:p w14:paraId="09A5AF09"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Timeframe:</w:t>
            </w:r>
          </w:p>
        </w:tc>
        <w:tc>
          <w:tcPr>
            <w:tcW w:w="1520" w:type="dxa"/>
            <w:tcBorders>
              <w:top w:val="single" w:sz="4" w:space="0" w:color="auto"/>
              <w:left w:val="nil"/>
              <w:bottom w:val="single" w:sz="8" w:space="0" w:color="auto"/>
              <w:right w:val="single" w:sz="4" w:space="0" w:color="auto"/>
            </w:tcBorders>
            <w:shd w:val="clear" w:color="auto" w:fill="auto"/>
            <w:noWrap/>
            <w:hideMark/>
          </w:tcPr>
          <w:p w14:paraId="34389D80"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1 day</w:t>
            </w:r>
          </w:p>
        </w:tc>
        <w:tc>
          <w:tcPr>
            <w:tcW w:w="1520" w:type="dxa"/>
            <w:tcBorders>
              <w:top w:val="single" w:sz="4" w:space="0" w:color="auto"/>
              <w:left w:val="nil"/>
              <w:bottom w:val="single" w:sz="8" w:space="0" w:color="auto"/>
              <w:right w:val="single" w:sz="4" w:space="0" w:color="auto"/>
            </w:tcBorders>
            <w:shd w:val="clear" w:color="auto" w:fill="auto"/>
            <w:noWrap/>
            <w:hideMark/>
          </w:tcPr>
          <w:p w14:paraId="7AFEF7EF"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1 day</w:t>
            </w:r>
          </w:p>
        </w:tc>
        <w:tc>
          <w:tcPr>
            <w:tcW w:w="1520" w:type="dxa"/>
            <w:tcBorders>
              <w:top w:val="single" w:sz="4" w:space="0" w:color="auto"/>
              <w:left w:val="nil"/>
              <w:bottom w:val="single" w:sz="8" w:space="0" w:color="auto"/>
              <w:right w:val="single" w:sz="8" w:space="0" w:color="auto"/>
            </w:tcBorders>
            <w:shd w:val="clear" w:color="auto" w:fill="auto"/>
            <w:noWrap/>
            <w:hideMark/>
          </w:tcPr>
          <w:p w14:paraId="227A941F"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1 month</w:t>
            </w:r>
          </w:p>
        </w:tc>
      </w:tr>
      <w:tr w:rsidR="002C70EF" w:rsidRPr="00DC065A" w14:paraId="245AB885" w14:textId="77777777" w:rsidTr="00263072">
        <w:trPr>
          <w:jc w:val="center"/>
        </w:trPr>
        <w:tc>
          <w:tcPr>
            <w:tcW w:w="4983" w:type="dxa"/>
            <w:tcBorders>
              <w:top w:val="nil"/>
              <w:left w:val="single" w:sz="8" w:space="0" w:color="auto"/>
              <w:bottom w:val="nil"/>
              <w:right w:val="single" w:sz="4" w:space="0" w:color="auto"/>
            </w:tcBorders>
            <w:shd w:val="clear" w:color="auto" w:fill="auto"/>
            <w:hideMark/>
          </w:tcPr>
          <w:p w14:paraId="035E3570" w14:textId="165F6204"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 xml:space="preserve">Scheduled energy exchanges (ANES) </w:t>
            </w:r>
            <w:r w:rsidR="00DC31AF">
              <w:rPr>
                <w:rStyle w:val="FootnoteReference"/>
                <w:rFonts w:ascii="Arial" w:eastAsia="Times New Roman" w:hAnsi="Arial" w:cs="Arial"/>
                <w:color w:val="000000"/>
                <w:lang w:eastAsia="de-DE"/>
              </w:rPr>
              <w:footnoteReference w:id="2"/>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5034AF87"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103E9D78"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hideMark/>
          </w:tcPr>
          <w:p w14:paraId="4D2BCCC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2C70EF" w:rsidRPr="00DC065A" w14:paraId="71594F97" w14:textId="77777777" w:rsidTr="00263072">
        <w:trPr>
          <w:jc w:val="center"/>
        </w:trPr>
        <w:tc>
          <w:tcPr>
            <w:tcW w:w="4983" w:type="dxa"/>
            <w:tcBorders>
              <w:top w:val="nil"/>
              <w:left w:val="single" w:sz="8" w:space="0" w:color="auto"/>
              <w:bottom w:val="nil"/>
              <w:right w:val="single" w:sz="4" w:space="0" w:color="auto"/>
            </w:tcBorders>
            <w:shd w:val="clear" w:color="auto" w:fill="auto"/>
            <w:hideMark/>
          </w:tcPr>
          <w:p w14:paraId="043A43AA" w14:textId="301E3D51" w:rsidR="00DC065A" w:rsidRPr="00632FF6" w:rsidRDefault="00DC065A" w:rsidP="00DC065A">
            <w:pPr>
              <w:spacing w:after="0" w:line="240" w:lineRule="auto"/>
              <w:jc w:val="left"/>
              <w:rPr>
                <w:rFonts w:ascii="Arial" w:eastAsia="Times New Roman" w:hAnsi="Arial" w:cs="Arial"/>
                <w:color w:val="000000"/>
                <w:lang w:eastAsia="de-DE"/>
              </w:rPr>
            </w:pPr>
            <w:r w:rsidRPr="00E010D3">
              <w:rPr>
                <w:rFonts w:ascii="Arial" w:eastAsia="Times New Roman" w:hAnsi="Arial" w:cs="Arial"/>
                <w:color w:val="000000"/>
                <w:lang w:eastAsia="de-DE"/>
              </w:rPr>
              <w:t>Inte</w:t>
            </w:r>
            <w:r w:rsidRPr="00632FF6">
              <w:rPr>
                <w:rFonts w:ascii="Arial" w:eastAsia="Times New Roman" w:hAnsi="Arial" w:cs="Arial"/>
                <w:color w:val="000000"/>
                <w:lang w:eastAsia="de-DE"/>
              </w:rPr>
              <w:t>nded Exchanges (Virtual Tie-Lines)</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4A4277F2"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730058AD"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hideMark/>
          </w:tcPr>
          <w:p w14:paraId="6F56D5E9"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2C70EF" w:rsidRPr="00DC065A" w14:paraId="351EC1CB"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0A4F4F1E" w14:textId="39A12B4B" w:rsidR="00DC065A" w:rsidRPr="00632FF6" w:rsidRDefault="007B0F44" w:rsidP="00DC065A">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Accounting</w:t>
            </w:r>
            <w:r w:rsidR="00DC065A" w:rsidRPr="00632FF6">
              <w:rPr>
                <w:rFonts w:ascii="Arial" w:eastAsia="Times New Roman" w:hAnsi="Arial" w:cs="Arial"/>
                <w:color w:val="000000"/>
                <w:lang w:eastAsia="de-DE"/>
              </w:rPr>
              <w:t xml:space="preserve"> </w:t>
            </w:r>
            <w:r w:rsidR="00BB2CE6">
              <w:rPr>
                <w:rFonts w:ascii="Arial" w:eastAsia="Times New Roman" w:hAnsi="Arial" w:cs="Arial"/>
                <w:color w:val="000000"/>
                <w:lang w:eastAsia="de-DE"/>
              </w:rPr>
              <w:t>Tie-line</w:t>
            </w:r>
            <w:r w:rsidR="00DC065A" w:rsidRPr="00632FF6">
              <w:rPr>
                <w:rFonts w:ascii="Arial" w:eastAsia="Times New Roman" w:hAnsi="Arial" w:cs="Arial"/>
                <w:color w:val="000000"/>
                <w:lang w:eastAsia="de-DE"/>
              </w:rPr>
              <w:t xml:space="preserve"> flows </w:t>
            </w:r>
            <w:r w:rsidR="0032136B">
              <w:rPr>
                <w:rFonts w:ascii="Arial" w:eastAsia="Times New Roman" w:hAnsi="Arial" w:cs="Arial"/>
                <w:color w:val="000000"/>
                <w:lang w:eastAsia="de-DE"/>
              </w:rPr>
              <w:t>- MWh</w:t>
            </w:r>
          </w:p>
        </w:tc>
        <w:tc>
          <w:tcPr>
            <w:tcW w:w="1520" w:type="dxa"/>
            <w:tcBorders>
              <w:top w:val="nil"/>
              <w:left w:val="nil"/>
              <w:bottom w:val="nil"/>
              <w:right w:val="single" w:sz="4" w:space="0" w:color="auto"/>
            </w:tcBorders>
            <w:shd w:val="clear" w:color="auto" w:fill="auto"/>
            <w:noWrap/>
            <w:hideMark/>
          </w:tcPr>
          <w:p w14:paraId="1F9ADDBC"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133932BE"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hideMark/>
          </w:tcPr>
          <w:p w14:paraId="145C5467"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2C70EF" w:rsidRPr="00DC065A" w14:paraId="295A766C"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77FD626F" w14:textId="2EDEC086"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K-factors</w:t>
            </w:r>
            <w:r w:rsidR="0032136B">
              <w:rPr>
                <w:rFonts w:ascii="Arial" w:eastAsia="Times New Roman" w:hAnsi="Arial" w:cs="Arial"/>
                <w:color w:val="000000"/>
                <w:lang w:eastAsia="de-DE"/>
              </w:rPr>
              <w:t xml:space="preserve"> – MW/Hz</w:t>
            </w:r>
          </w:p>
        </w:tc>
        <w:tc>
          <w:tcPr>
            <w:tcW w:w="1520" w:type="dxa"/>
            <w:tcBorders>
              <w:top w:val="nil"/>
              <w:left w:val="nil"/>
              <w:bottom w:val="nil"/>
              <w:right w:val="single" w:sz="4" w:space="0" w:color="auto"/>
            </w:tcBorders>
            <w:shd w:val="clear" w:color="auto" w:fill="auto"/>
            <w:noWrap/>
            <w:hideMark/>
          </w:tcPr>
          <w:p w14:paraId="4EB6266C"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3CECDEDE"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hideMark/>
          </w:tcPr>
          <w:p w14:paraId="662EB81F"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DC065A" w:rsidRPr="00DC065A" w14:paraId="029AEEF9"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0E7DDC10" w14:textId="6F69A65E"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Frequency Deviation</w:t>
            </w:r>
            <w:r w:rsidR="0032136B">
              <w:rPr>
                <w:rFonts w:ascii="Arial" w:eastAsia="Times New Roman" w:hAnsi="Arial" w:cs="Arial"/>
                <w:color w:val="000000"/>
                <w:lang w:eastAsia="de-DE"/>
              </w:rPr>
              <w:t xml:space="preserve"> – mHz</w:t>
            </w:r>
          </w:p>
        </w:tc>
        <w:tc>
          <w:tcPr>
            <w:tcW w:w="1520" w:type="dxa"/>
            <w:tcBorders>
              <w:top w:val="nil"/>
              <w:left w:val="nil"/>
              <w:bottom w:val="nil"/>
              <w:right w:val="single" w:sz="4" w:space="0" w:color="auto"/>
            </w:tcBorders>
            <w:shd w:val="clear" w:color="auto" w:fill="auto"/>
            <w:noWrap/>
            <w:hideMark/>
          </w:tcPr>
          <w:p w14:paraId="0D700897"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1E0633DE"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hideMark/>
          </w:tcPr>
          <w:p w14:paraId="6F008929"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DC065A" w:rsidRPr="00DC065A" w14:paraId="134D2251"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0CCE6A5A" w14:textId="4D0D87EF"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Volumes of FCP Energy</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65D2B265"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5F12CA4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6EE6476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DC065A" w:rsidRPr="00DC065A" w14:paraId="75C8F3F2"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112A3B65" w14:textId="2C319631"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Volumes of RP Energy</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1C354D7D"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43EA65F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12558481"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DC065A" w:rsidRPr="00DC065A" w14:paraId="75C0902C"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394375C3" w14:textId="3CAA5EDE"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Volumes of UE Energy</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6C09949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4695CA55"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7B7FED5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174280" w:rsidRPr="00DC065A" w14:paraId="15069F40" w14:textId="77777777" w:rsidTr="00263072">
        <w:trPr>
          <w:jc w:val="center"/>
        </w:trPr>
        <w:tc>
          <w:tcPr>
            <w:tcW w:w="4983" w:type="dxa"/>
            <w:tcBorders>
              <w:top w:val="nil"/>
              <w:left w:val="single" w:sz="8" w:space="0" w:color="auto"/>
              <w:bottom w:val="nil"/>
              <w:right w:val="single" w:sz="4" w:space="0" w:color="auto"/>
            </w:tcBorders>
            <w:shd w:val="clear" w:color="auto" w:fill="auto"/>
            <w:noWrap/>
          </w:tcPr>
          <w:p w14:paraId="0BBC6BCC" w14:textId="393B46E3" w:rsidR="00174280" w:rsidRPr="00632FF6" w:rsidRDefault="009811C0" w:rsidP="00DC06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Day-Ahead Market Price (DAMP)</w:t>
            </w:r>
            <w:r w:rsidR="00174280">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tcPr>
          <w:p w14:paraId="5680178C" w14:textId="216D4223" w:rsidR="00174280" w:rsidRPr="00632FF6" w:rsidRDefault="00174280"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nil"/>
              <w:right w:val="single" w:sz="4" w:space="0" w:color="auto"/>
            </w:tcBorders>
            <w:shd w:val="clear" w:color="auto" w:fill="auto"/>
            <w:noWrap/>
          </w:tcPr>
          <w:p w14:paraId="0B1436AC" w14:textId="0C7B3DFD" w:rsidR="00174280" w:rsidRPr="00632FF6" w:rsidRDefault="00174280"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tcPr>
          <w:p w14:paraId="21820BAD" w14:textId="0E6F6794" w:rsidR="00174280" w:rsidRPr="00632FF6" w:rsidRDefault="00174280"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r>
      <w:tr w:rsidR="00DC065A" w:rsidRPr="00DC065A" w14:paraId="77822391"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7767CE1C" w14:textId="19B870E9"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Price for FCPE</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645AF83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4" w:space="0" w:color="auto"/>
            </w:tcBorders>
            <w:shd w:val="clear" w:color="auto" w:fill="auto"/>
            <w:noWrap/>
            <w:hideMark/>
          </w:tcPr>
          <w:p w14:paraId="10F0388F"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6AB687BC"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2C70EF" w:rsidRPr="00DC065A" w14:paraId="2069D165"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569B5D92" w14:textId="126843A6"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 xml:space="preserve">Price for RPE </w:t>
            </w:r>
            <w:r w:rsidR="0032136B">
              <w:rPr>
                <w:rFonts w:ascii="Arial" w:eastAsia="Times New Roman" w:hAnsi="Arial" w:cs="Arial"/>
                <w:color w:val="000000"/>
                <w:lang w:eastAsia="de-DE"/>
              </w:rPr>
              <w:t>- €/MWh</w:t>
            </w:r>
          </w:p>
        </w:tc>
        <w:tc>
          <w:tcPr>
            <w:tcW w:w="1520" w:type="dxa"/>
            <w:tcBorders>
              <w:top w:val="nil"/>
              <w:left w:val="nil"/>
              <w:bottom w:val="nil"/>
              <w:right w:val="single" w:sz="4" w:space="0" w:color="auto"/>
            </w:tcBorders>
            <w:shd w:val="clear" w:color="auto" w:fill="auto"/>
            <w:noWrap/>
            <w:hideMark/>
          </w:tcPr>
          <w:p w14:paraId="21619976"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4" w:space="0" w:color="auto"/>
            </w:tcBorders>
            <w:shd w:val="clear" w:color="auto" w:fill="auto"/>
            <w:noWrap/>
            <w:hideMark/>
          </w:tcPr>
          <w:p w14:paraId="3848FB2A"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62D8560B"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2C70EF" w:rsidRPr="00DC065A" w14:paraId="346012B4"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1692CAAA" w14:textId="1F022782"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Price for UE</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18758D5D"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4" w:space="0" w:color="auto"/>
            </w:tcBorders>
            <w:shd w:val="clear" w:color="auto" w:fill="auto"/>
            <w:noWrap/>
            <w:hideMark/>
          </w:tcPr>
          <w:p w14:paraId="70BCE5B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19C4F7B8"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2C70EF" w:rsidRPr="00DC065A" w14:paraId="01EE8597" w14:textId="77777777" w:rsidTr="00263072">
        <w:trPr>
          <w:jc w:val="center"/>
        </w:trPr>
        <w:tc>
          <w:tcPr>
            <w:tcW w:w="4983" w:type="dxa"/>
            <w:tcBorders>
              <w:top w:val="nil"/>
              <w:left w:val="single" w:sz="8" w:space="0" w:color="auto"/>
              <w:bottom w:val="nil"/>
              <w:right w:val="single" w:sz="4" w:space="0" w:color="auto"/>
            </w:tcBorders>
            <w:shd w:val="clear" w:color="auto" w:fill="auto"/>
            <w:noWrap/>
          </w:tcPr>
          <w:p w14:paraId="0C5AD8D9" w14:textId="6977BFB5" w:rsidR="00073C83" w:rsidRPr="00073C83" w:rsidRDefault="00073C83" w:rsidP="00DC065A">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Monetary values for FCPE</w:t>
            </w:r>
            <w:r w:rsidR="0032136B">
              <w:rPr>
                <w:rFonts w:ascii="Arial" w:eastAsia="Times New Roman" w:hAnsi="Arial" w:cs="Arial"/>
                <w:color w:val="000000"/>
                <w:lang w:eastAsia="de-DE"/>
              </w:rPr>
              <w:t xml:space="preserve"> - €</w:t>
            </w:r>
          </w:p>
        </w:tc>
        <w:tc>
          <w:tcPr>
            <w:tcW w:w="1520" w:type="dxa"/>
            <w:tcBorders>
              <w:top w:val="nil"/>
              <w:left w:val="nil"/>
              <w:bottom w:val="nil"/>
              <w:right w:val="single" w:sz="4" w:space="0" w:color="auto"/>
            </w:tcBorders>
            <w:shd w:val="clear" w:color="auto" w:fill="auto"/>
            <w:noWrap/>
          </w:tcPr>
          <w:p w14:paraId="143DBC4D" w14:textId="12101D60" w:rsidR="00073C83" w:rsidRPr="00073C83" w:rsidRDefault="00073C83"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nil"/>
              <w:right w:val="single" w:sz="4" w:space="0" w:color="auto"/>
            </w:tcBorders>
            <w:shd w:val="clear" w:color="auto" w:fill="auto"/>
            <w:noWrap/>
          </w:tcPr>
          <w:p w14:paraId="1F6D83AE" w14:textId="6042C7A8" w:rsidR="00073C83" w:rsidRPr="00073C83" w:rsidRDefault="00073C83"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tcPr>
          <w:p w14:paraId="47617C68" w14:textId="313334B0" w:rsidR="00073C83" w:rsidRPr="00073C83" w:rsidRDefault="00073C83"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r>
      <w:tr w:rsidR="002C70EF" w:rsidRPr="00DC065A" w14:paraId="0A90EA33" w14:textId="77777777" w:rsidTr="00263072">
        <w:trPr>
          <w:jc w:val="center"/>
        </w:trPr>
        <w:tc>
          <w:tcPr>
            <w:tcW w:w="4983" w:type="dxa"/>
            <w:tcBorders>
              <w:top w:val="nil"/>
              <w:left w:val="single" w:sz="8" w:space="0" w:color="auto"/>
              <w:bottom w:val="nil"/>
              <w:right w:val="single" w:sz="4" w:space="0" w:color="auto"/>
            </w:tcBorders>
            <w:shd w:val="clear" w:color="auto" w:fill="auto"/>
            <w:noWrap/>
          </w:tcPr>
          <w:p w14:paraId="3687A33C" w14:textId="2A862799" w:rsidR="00073C83" w:rsidRPr="00073C83" w:rsidRDefault="00073C83" w:rsidP="00073C83">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Monetary values for RPE</w:t>
            </w:r>
            <w:r w:rsidR="0032136B">
              <w:rPr>
                <w:rFonts w:ascii="Arial" w:eastAsia="Times New Roman" w:hAnsi="Arial" w:cs="Arial"/>
                <w:color w:val="000000"/>
                <w:lang w:eastAsia="de-DE"/>
              </w:rPr>
              <w:t xml:space="preserve"> - €</w:t>
            </w:r>
          </w:p>
        </w:tc>
        <w:tc>
          <w:tcPr>
            <w:tcW w:w="1520" w:type="dxa"/>
            <w:tcBorders>
              <w:top w:val="nil"/>
              <w:left w:val="nil"/>
              <w:bottom w:val="nil"/>
              <w:right w:val="single" w:sz="4" w:space="0" w:color="auto"/>
            </w:tcBorders>
            <w:shd w:val="clear" w:color="auto" w:fill="auto"/>
            <w:noWrap/>
          </w:tcPr>
          <w:p w14:paraId="0C8E032D" w14:textId="5E107554"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nil"/>
              <w:right w:val="single" w:sz="4" w:space="0" w:color="auto"/>
            </w:tcBorders>
            <w:shd w:val="clear" w:color="auto" w:fill="auto"/>
            <w:noWrap/>
          </w:tcPr>
          <w:p w14:paraId="3F1C9FAD" w14:textId="38721087"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tcPr>
          <w:p w14:paraId="482690E1" w14:textId="0AF0CBEF"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r>
      <w:tr w:rsidR="002C70EF" w:rsidRPr="00DC065A" w14:paraId="2ABC1413" w14:textId="77777777" w:rsidTr="00263072">
        <w:trPr>
          <w:jc w:val="center"/>
        </w:trPr>
        <w:tc>
          <w:tcPr>
            <w:tcW w:w="4983" w:type="dxa"/>
            <w:tcBorders>
              <w:top w:val="nil"/>
              <w:left w:val="single" w:sz="8" w:space="0" w:color="auto"/>
              <w:bottom w:val="single" w:sz="8" w:space="0" w:color="auto"/>
              <w:right w:val="single" w:sz="4" w:space="0" w:color="auto"/>
            </w:tcBorders>
            <w:shd w:val="clear" w:color="auto" w:fill="auto"/>
            <w:noWrap/>
          </w:tcPr>
          <w:p w14:paraId="5003C470" w14:textId="4C13B432" w:rsidR="00073C83" w:rsidRPr="00073C83" w:rsidRDefault="00073C83" w:rsidP="00073C83">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Monetary values for UE</w:t>
            </w:r>
            <w:r w:rsidR="0032136B">
              <w:rPr>
                <w:rFonts w:ascii="Arial" w:eastAsia="Times New Roman" w:hAnsi="Arial" w:cs="Arial"/>
                <w:color w:val="000000"/>
                <w:lang w:eastAsia="de-DE"/>
              </w:rPr>
              <w:t xml:space="preserve"> - €</w:t>
            </w:r>
          </w:p>
        </w:tc>
        <w:tc>
          <w:tcPr>
            <w:tcW w:w="1520" w:type="dxa"/>
            <w:tcBorders>
              <w:top w:val="nil"/>
              <w:left w:val="nil"/>
              <w:bottom w:val="single" w:sz="8" w:space="0" w:color="auto"/>
              <w:right w:val="single" w:sz="4" w:space="0" w:color="auto"/>
            </w:tcBorders>
            <w:shd w:val="clear" w:color="auto" w:fill="auto"/>
            <w:noWrap/>
          </w:tcPr>
          <w:p w14:paraId="3B93E24A" w14:textId="3A893C94"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single" w:sz="8" w:space="0" w:color="auto"/>
              <w:right w:val="single" w:sz="4" w:space="0" w:color="auto"/>
            </w:tcBorders>
            <w:shd w:val="clear" w:color="auto" w:fill="auto"/>
            <w:noWrap/>
          </w:tcPr>
          <w:p w14:paraId="335D1669" w14:textId="3DE5BF26"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single" w:sz="8" w:space="0" w:color="auto"/>
              <w:right w:val="single" w:sz="8" w:space="0" w:color="auto"/>
            </w:tcBorders>
            <w:shd w:val="clear" w:color="auto" w:fill="auto"/>
            <w:noWrap/>
          </w:tcPr>
          <w:p w14:paraId="153198B5" w14:textId="31E2F64A"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r>
    </w:tbl>
    <w:p w14:paraId="40711393" w14:textId="7791F89E" w:rsidR="00FA21A7" w:rsidRDefault="00FA21A7" w:rsidP="00420BC0"/>
    <w:p w14:paraId="3D9F9D71" w14:textId="0D00613B" w:rsidR="0088085A" w:rsidRPr="008271B3" w:rsidRDefault="002E2691" w:rsidP="0088085A">
      <w:pPr>
        <w:pStyle w:val="Heading3"/>
      </w:pPr>
      <w:bookmarkStart w:id="36" w:name="_Ref62108106"/>
      <w:bookmarkStart w:id="37" w:name="_Toc85043862"/>
      <w:bookmarkStart w:id="38" w:name="_Toc107495712"/>
      <w:r>
        <w:t>Coordination</w:t>
      </w:r>
      <w:r w:rsidR="0088085A" w:rsidRPr="008271B3">
        <w:t xml:space="preserve"> Centre</w:t>
      </w:r>
      <w:bookmarkEnd w:id="36"/>
      <w:bookmarkEnd w:id="37"/>
      <w:bookmarkEnd w:id="38"/>
    </w:p>
    <w:p w14:paraId="2F67DCD5" w14:textId="74C3F875" w:rsidR="0088085A" w:rsidRDefault="0088085A" w:rsidP="0088085A">
      <w:r>
        <w:t xml:space="preserve">The </w:t>
      </w:r>
      <w:r w:rsidR="002E2691">
        <w:t>Coordination</w:t>
      </w:r>
      <w:r>
        <w:t xml:space="preserve"> Centres are responsible and shall perform the following tasks within the financial settlement for:</w:t>
      </w:r>
    </w:p>
    <w:p w14:paraId="3E8F969E" w14:textId="7CE786E7" w:rsidR="0088085A" w:rsidRDefault="0088085A" w:rsidP="0088085A">
      <w:pPr>
        <w:pStyle w:val="ListParagraph"/>
        <w:numPr>
          <w:ilvl w:val="0"/>
          <w:numId w:val="81"/>
        </w:numPr>
      </w:pPr>
      <w:r>
        <w:lastRenderedPageBreak/>
        <w:t xml:space="preserve">Receiving Accounting Data from TSOs </w:t>
      </w:r>
      <w:r w:rsidR="00022DE4">
        <w:t xml:space="preserve">through SOVA files </w:t>
      </w:r>
      <w:r>
        <w:t>to perform the Accounting Process</w:t>
      </w:r>
    </w:p>
    <w:p w14:paraId="259210EE" w14:textId="77777777" w:rsidR="0088085A" w:rsidRDefault="0088085A" w:rsidP="0088085A">
      <w:pPr>
        <w:pStyle w:val="ListParagraph"/>
        <w:numPr>
          <w:ilvl w:val="0"/>
          <w:numId w:val="81"/>
        </w:numPr>
      </w:pPr>
      <w:r>
        <w:t>Perform the Accounting Process and Settlement Process as described in this Policy</w:t>
      </w:r>
    </w:p>
    <w:p w14:paraId="6FA032A8" w14:textId="77777777" w:rsidR="0088085A" w:rsidRDefault="0088085A" w:rsidP="0088085A">
      <w:pPr>
        <w:pStyle w:val="ListParagraph"/>
        <w:numPr>
          <w:ilvl w:val="0"/>
          <w:numId w:val="81"/>
        </w:numPr>
      </w:pPr>
      <w:r>
        <w:t>Calculating the Settlement Results as reflected in the DSR, DSPR and MSR, submitted to the TSOs</w:t>
      </w:r>
    </w:p>
    <w:p w14:paraId="6FC439B6" w14:textId="77777777" w:rsidR="0088085A" w:rsidRDefault="0088085A" w:rsidP="0088085A">
      <w:pPr>
        <w:pStyle w:val="ListParagraph"/>
        <w:numPr>
          <w:ilvl w:val="0"/>
          <w:numId w:val="81"/>
        </w:numPr>
      </w:pPr>
      <w:r>
        <w:t>Submitting the monthly Settlement Results to the Invoicing Entity for invoicing</w:t>
      </w:r>
    </w:p>
    <w:p w14:paraId="55E6DD7F" w14:textId="1A52218C" w:rsidR="0088085A" w:rsidRDefault="00F7398B" w:rsidP="0088085A">
      <w:pPr>
        <w:pStyle w:val="ListParagraph"/>
        <w:numPr>
          <w:ilvl w:val="0"/>
          <w:numId w:val="81"/>
        </w:numPr>
      </w:pPr>
      <w:r>
        <w:t>S</w:t>
      </w:r>
      <w:r w:rsidR="0088085A">
        <w:t xml:space="preserve">ubmitting the actual cost sharing key to </w:t>
      </w:r>
      <w:r w:rsidR="0088085A" w:rsidRPr="006718A7">
        <w:t>the Invoicing Entity</w:t>
      </w:r>
    </w:p>
    <w:p w14:paraId="14CC3E03" w14:textId="77777777" w:rsidR="0088085A" w:rsidRDefault="0088085A" w:rsidP="0088085A">
      <w:pPr>
        <w:pStyle w:val="Heading3"/>
      </w:pPr>
      <w:bookmarkStart w:id="39" w:name="_Toc85043863"/>
      <w:bookmarkStart w:id="40" w:name="_Toc107495713"/>
      <w:r>
        <w:t>Invoicing Entity</w:t>
      </w:r>
      <w:bookmarkEnd w:id="39"/>
      <w:bookmarkEnd w:id="40"/>
    </w:p>
    <w:p w14:paraId="7A73A9A4" w14:textId="704E2DE7" w:rsidR="0088085A" w:rsidRPr="00E46554" w:rsidRDefault="0088085A" w:rsidP="0088085A">
      <w:r>
        <w:t>The Invoicing Entity is an external party to invoice TSOs according to the results of the Financial Settlement.</w:t>
      </w:r>
    </w:p>
    <w:p w14:paraId="4D08C133" w14:textId="32A2115B" w:rsidR="007103D7" w:rsidRPr="00C87891" w:rsidRDefault="00443483" w:rsidP="007103D7">
      <w:pPr>
        <w:pStyle w:val="Heading2"/>
      </w:pPr>
      <w:bookmarkStart w:id="41" w:name="_Toc107495714"/>
      <w:r w:rsidRPr="00C87891">
        <w:t>Standards</w:t>
      </w:r>
      <w:r w:rsidR="00945BFA" w:rsidRPr="00C87891">
        <w:t xml:space="preserve"> – general process overview</w:t>
      </w:r>
      <w:bookmarkEnd w:id="41"/>
    </w:p>
    <w:p w14:paraId="63E8905A" w14:textId="47B2F738" w:rsidR="005E50A9" w:rsidRPr="00C87891" w:rsidRDefault="00446768" w:rsidP="00653067">
      <w:pPr>
        <w:pStyle w:val="Heading3"/>
      </w:pPr>
      <w:bookmarkStart w:id="42" w:name="_Toc107495715"/>
      <w:r w:rsidRPr="00C87891">
        <w:t>Overview</w:t>
      </w:r>
      <w:bookmarkEnd w:id="42"/>
      <w:r w:rsidRPr="00C87891">
        <w:t xml:space="preserve"> </w:t>
      </w:r>
    </w:p>
    <w:p w14:paraId="6BF6A9D4" w14:textId="550ABB2C" w:rsidR="005E50A9" w:rsidRPr="00C87891" w:rsidRDefault="00446768" w:rsidP="005E50A9">
      <w:r w:rsidRPr="00C87891">
        <w:t xml:space="preserve">In the </w:t>
      </w:r>
      <w:r w:rsidR="00E631A4" w:rsidRPr="00C87891">
        <w:t xml:space="preserve">SA </w:t>
      </w:r>
      <w:r w:rsidRPr="00C87891">
        <w:t xml:space="preserve">CE the </w:t>
      </w:r>
      <w:r w:rsidR="000D2572">
        <w:t xml:space="preserve">energy volumes corresponding to Frequency Containment Process (FCP) Energy, Ramping Period (RP) Energy, and Unintended Exchange (UE)) </w:t>
      </w:r>
      <w:r w:rsidR="00FE0DFB" w:rsidRPr="00C87891">
        <w:t>are</w:t>
      </w:r>
      <w:r w:rsidRPr="00C87891">
        <w:t xml:space="preserve"> compensated </w:t>
      </w:r>
      <w:r w:rsidR="00917AC6">
        <w:t>financially between TSOs</w:t>
      </w:r>
      <w:r w:rsidRPr="00C87891">
        <w:t xml:space="preserve">. </w:t>
      </w:r>
    </w:p>
    <w:p w14:paraId="528D91FA" w14:textId="7852ADD4" w:rsidR="003D2C9D" w:rsidRPr="00632FF6" w:rsidRDefault="00F73500" w:rsidP="00632FF6">
      <w:pPr>
        <w:pStyle w:val="Heading3"/>
      </w:pPr>
      <w:bookmarkStart w:id="43" w:name="_Toc107495716"/>
      <w:r w:rsidRPr="00C87891">
        <w:t xml:space="preserve">Workflow </w:t>
      </w:r>
      <w:r w:rsidRPr="00632FF6">
        <w:t>for the accounting and settlement process</w:t>
      </w:r>
      <w:bookmarkEnd w:id="43"/>
    </w:p>
    <w:p w14:paraId="70D8FEC9" w14:textId="58751A80" w:rsidR="003D2C9D" w:rsidRPr="00263072" w:rsidRDefault="003D2C9D">
      <w:r w:rsidRPr="009E0E53">
        <w:rPr>
          <w:b/>
          <w:bCs/>
        </w:rPr>
        <w:t>Accounting process</w:t>
      </w:r>
    </w:p>
    <w:p w14:paraId="36A701DA" w14:textId="67B3D66E" w:rsidR="003D2C9D" w:rsidRDefault="003D2C9D" w:rsidP="003D2C9D">
      <w:r>
        <w:t>The A</w:t>
      </w:r>
      <w:r w:rsidRPr="00C87891">
        <w:t xml:space="preserve">ccounting Process </w:t>
      </w:r>
      <w:r>
        <w:t>begins with</w:t>
      </w:r>
      <w:r w:rsidRPr="00C87891">
        <w:t xml:space="preserve"> the validation of the metered data </w:t>
      </w:r>
      <w:r w:rsidR="00082AC3">
        <w:t xml:space="preserve">by TSOs </w:t>
      </w:r>
      <w:r w:rsidRPr="00C87891">
        <w:t xml:space="preserve">(usually located at an interconnecting Tie-Line of a TSO) and of the resulting Accounting Data. The purpose of the daily accounting is to provide a validated set of Accounting Data to the </w:t>
      </w:r>
      <w:r w:rsidR="002E2691">
        <w:t>Coordination</w:t>
      </w:r>
      <w:r w:rsidRPr="00C87891">
        <w:t xml:space="preserve"> Centre</w:t>
      </w:r>
      <w:r>
        <w:t xml:space="preserve">s </w:t>
      </w:r>
      <w:r w:rsidRPr="00C87891">
        <w:t xml:space="preserve">in order to </w:t>
      </w:r>
      <w:r>
        <w:t>perform</w:t>
      </w:r>
      <w:r w:rsidRPr="00C87891">
        <w:t xml:space="preserve"> </w:t>
      </w:r>
      <w:r>
        <w:t>the settlement process</w:t>
      </w:r>
      <w:r w:rsidR="00A72C08" w:rsidRPr="00A72C08">
        <w:t xml:space="preserve"> </w:t>
      </w:r>
      <w:r w:rsidR="00A72C08" w:rsidRPr="00C87891">
        <w:t>every day</w:t>
      </w:r>
      <w:r w:rsidRPr="00C87891">
        <w:t>.</w:t>
      </w:r>
    </w:p>
    <w:p w14:paraId="4DBFE7A6" w14:textId="47D2EECD" w:rsidR="003D2C9D" w:rsidRDefault="003D2C9D" w:rsidP="003D2C9D">
      <w:bookmarkStart w:id="44" w:name="_Ref512260676"/>
      <w:r>
        <w:t>Accounting process by the TSOs: TSOs have to finish the daily accounting process on</w:t>
      </w:r>
      <w:r w:rsidRPr="00C87891">
        <w:t xml:space="preserve"> the first working day after energy delivery, except in cases of unavailability of accounting offices (see </w:t>
      </w:r>
      <w:r w:rsidRPr="00C87891">
        <w:fldChar w:fldCharType="begin"/>
      </w:r>
      <w:r w:rsidRPr="00C87891">
        <w:instrText xml:space="preserve"> REF _Ref523401129 \r \h </w:instrText>
      </w:r>
      <w:r>
        <w:instrText xml:space="preserve"> \* MERGEFORMAT </w:instrText>
      </w:r>
      <w:r w:rsidRPr="00C87891">
        <w:fldChar w:fldCharType="separate"/>
      </w:r>
      <w:r w:rsidR="00D26D46">
        <w:t>C-3-3</w:t>
      </w:r>
      <w:r w:rsidRPr="00C87891">
        <w:fldChar w:fldCharType="end"/>
      </w:r>
      <w:r w:rsidRPr="00C87891">
        <w:t xml:space="preserve">) or data mismatch (see </w:t>
      </w:r>
      <w:r w:rsidRPr="00C87891">
        <w:fldChar w:fldCharType="begin"/>
      </w:r>
      <w:r w:rsidRPr="00C87891">
        <w:instrText xml:space="preserve"> REF _Ref523390386 \r \h </w:instrText>
      </w:r>
      <w:r>
        <w:instrText xml:space="preserve"> \* MERGEFORMAT </w:instrText>
      </w:r>
      <w:r w:rsidRPr="00C87891">
        <w:fldChar w:fldCharType="separate"/>
      </w:r>
      <w:r w:rsidR="00D26D46">
        <w:t>C-3-8</w:t>
      </w:r>
      <w:r w:rsidRPr="00C87891">
        <w:fldChar w:fldCharType="end"/>
      </w:r>
      <w:r w:rsidRPr="00C87891">
        <w:t xml:space="preserve"> and </w:t>
      </w:r>
      <w:r w:rsidR="00022DE4" w:rsidRPr="00C87891">
        <w:fldChar w:fldCharType="begin"/>
      </w:r>
      <w:r w:rsidR="00022DE4" w:rsidRPr="00C87891">
        <w:instrText xml:space="preserve"> REF _Ref523390400 \r \h </w:instrText>
      </w:r>
      <w:r w:rsidR="00022DE4">
        <w:instrText xml:space="preserve"> \* MERGEFORMAT </w:instrText>
      </w:r>
      <w:r w:rsidR="00022DE4" w:rsidRPr="00C87891">
        <w:fldChar w:fldCharType="separate"/>
      </w:r>
      <w:r w:rsidR="00D26D46">
        <w:t>C-5-2-4</w:t>
      </w:r>
      <w:r w:rsidR="00022DE4" w:rsidRPr="00C87891">
        <w:fldChar w:fldCharType="end"/>
      </w:r>
      <w:r w:rsidR="00022DE4" w:rsidRPr="00C87891">
        <w:t xml:space="preserve">). </w:t>
      </w:r>
      <w:r w:rsidRPr="00C87891">
        <w:t xml:space="preserve"> It starts with the initial exchange of metered data </w:t>
      </w:r>
      <w:r w:rsidR="00A72C08">
        <w:t xml:space="preserve">for each Tie-Line </w:t>
      </w:r>
      <w:r w:rsidRPr="00C87891">
        <w:t>between neighbouring TSOs, continues with the establishment of the Accounting Data</w:t>
      </w:r>
      <w:r w:rsidR="00A72C08">
        <w:t xml:space="preserve"> for each Tie-Line</w:t>
      </w:r>
      <w:r w:rsidRPr="00C87891">
        <w:t xml:space="preserve">, and the transmission of the resulting </w:t>
      </w:r>
      <w:r>
        <w:t>Accounting D</w:t>
      </w:r>
      <w:r w:rsidRPr="00C87891">
        <w:t xml:space="preserve">ata up to the </w:t>
      </w:r>
      <w:r w:rsidR="002E2691">
        <w:t>Coordination</w:t>
      </w:r>
      <w:r w:rsidRPr="00C87891">
        <w:t xml:space="preserve"> Centre</w:t>
      </w:r>
      <w:r>
        <w:t>s.</w:t>
      </w:r>
    </w:p>
    <w:p w14:paraId="5626A3A5" w14:textId="63E76D88" w:rsidR="003D2C9D" w:rsidRDefault="003D2C9D" w:rsidP="003D2C9D">
      <w:r>
        <w:t xml:space="preserve">Accounting process by the </w:t>
      </w:r>
      <w:r w:rsidR="002E2691">
        <w:t>Coordination</w:t>
      </w:r>
      <w:r>
        <w:t xml:space="preserve"> Centres: Upon reception of the Accounting Data </w:t>
      </w:r>
      <w:r w:rsidR="000715B8">
        <w:t>(including VTL)</w:t>
      </w:r>
      <w:r w:rsidR="008664DD">
        <w:t>, the frequency deviations</w:t>
      </w:r>
      <w:r w:rsidR="000715B8">
        <w:t xml:space="preserve"> </w:t>
      </w:r>
      <w:r w:rsidR="00BD2A27">
        <w:t xml:space="preserve">from Swissgrid </w:t>
      </w:r>
      <w:r w:rsidR="000715B8">
        <w:t>and</w:t>
      </w:r>
      <w:r w:rsidR="008664DD">
        <w:t xml:space="preserve"> </w:t>
      </w:r>
      <w:r>
        <w:t xml:space="preserve">the K-factors from the TSOs, the </w:t>
      </w:r>
      <w:r w:rsidR="002E2691">
        <w:t>Coordination</w:t>
      </w:r>
      <w:r w:rsidR="008D666C">
        <w:t xml:space="preserve"> Centre</w:t>
      </w:r>
      <w:r>
        <w:t>s</w:t>
      </w:r>
      <w:r w:rsidDel="000755B5">
        <w:t xml:space="preserve"> </w:t>
      </w:r>
      <w:r>
        <w:t>perform the determination of energy volumes corresponding to Frequency Containment Process (FCP) Energy, Ramping Period (RP) Energy, and Unintended Exchange (UE)</w:t>
      </w:r>
      <w:r w:rsidR="000715B8">
        <w:t xml:space="preserve"> by comparison with the sum of the LFC areas schedules (ANES)</w:t>
      </w:r>
      <w:r w:rsidR="00C162AA">
        <w:t xml:space="preserve"> and application of the corresponding formulas</w:t>
      </w:r>
      <w:r>
        <w:t xml:space="preserve">. Afterwards, a Daily Settlement Report (DSR) is sent to each TSO. The TSOs have the opportunity, to review the reported settlement results within a given deadline </w:t>
      </w:r>
      <w:r w:rsidRPr="00C87891">
        <w:t xml:space="preserve">according to the </w:t>
      </w:r>
      <w:r>
        <w:t xml:space="preserve">ACCOUNTING AND FINANCIAL SETTLEMENT OF KF, ACE AND RAMPING PERIOD (FSKAR) IMPLEMENTATION GUIDE. The expiration of the deadline concludes the Accounting Process and the daily settlement volumes are considered final. </w:t>
      </w:r>
    </w:p>
    <w:p w14:paraId="3A2D5424" w14:textId="799F9EF5" w:rsidR="00B158BB" w:rsidRPr="00263072" w:rsidRDefault="00B158BB">
      <w:r w:rsidRPr="009E0E53">
        <w:rPr>
          <w:b/>
          <w:bCs/>
        </w:rPr>
        <w:t>Settlement process</w:t>
      </w:r>
    </w:p>
    <w:p w14:paraId="1ADDC847" w14:textId="07B01D2E" w:rsidR="00F2016E" w:rsidRDefault="00F2016E" w:rsidP="00F2016E">
      <w:r w:rsidRPr="00C87891">
        <w:lastRenderedPageBreak/>
        <w:t>The daily settlement starts after the daily Accounting Process</w:t>
      </w:r>
      <w:r>
        <w:t xml:space="preserve"> for all TSOs has been concluded and the </w:t>
      </w:r>
      <w:r w:rsidR="002E2691">
        <w:t>Coordination</w:t>
      </w:r>
      <w:r w:rsidR="008D666C">
        <w:t xml:space="preserve"> Centre</w:t>
      </w:r>
      <w:r>
        <w:t>s</w:t>
      </w:r>
      <w:r w:rsidR="002D5DA3">
        <w:t>(CCs)</w:t>
      </w:r>
      <w:r>
        <w:t xml:space="preserve"> have received all </w:t>
      </w:r>
      <w:r w:rsidR="009811C0">
        <w:t>Day-Ahead Market Price</w:t>
      </w:r>
      <w:r>
        <w:t>s (DAMPs)</w:t>
      </w:r>
      <w:r w:rsidRPr="00C87891">
        <w:t xml:space="preserve">. </w:t>
      </w:r>
      <w:r>
        <w:t xml:space="preserve">The </w:t>
      </w:r>
      <w:r w:rsidR="002E2691">
        <w:t>Coordination</w:t>
      </w:r>
      <w:r w:rsidR="008D666C">
        <w:t xml:space="preserve"> Centre</w:t>
      </w:r>
      <w:r>
        <w:t>s perform the calculation of the Settlement Price for FCP Energy, RP Energy and UE. Following this, the Daily Settlement Prices Report (DSPR) is consolidated and distributed among the TSOs.</w:t>
      </w:r>
      <w:r w:rsidRPr="00C87891">
        <w:t xml:space="preserve"> </w:t>
      </w:r>
      <w:r>
        <w:t xml:space="preserve">The TSOs have the opportunity to review the reported settlement results within a given deadline </w:t>
      </w:r>
      <w:r w:rsidRPr="00C87891">
        <w:t xml:space="preserve">according to the </w:t>
      </w:r>
      <w:r>
        <w:t>ACCOUNTING AND FINANCIAL SETTLEMENT OF KF, ACE AND RAMPING PERIOD (FSKAR) IMPLEMENTATION GUIDE. After expiration of this deadline, the Daily Settlement Process is concluded and the daily settlement prices are considered final.</w:t>
      </w:r>
    </w:p>
    <w:p w14:paraId="3328EAFF" w14:textId="0A5C125B" w:rsidR="00F2016E" w:rsidRPr="00C87891" w:rsidRDefault="00F2016E" w:rsidP="00F2016E">
      <w:r w:rsidRPr="00C87891">
        <w:t xml:space="preserve">The </w:t>
      </w:r>
      <w:r>
        <w:t>monthly</w:t>
      </w:r>
      <w:r w:rsidRPr="00C87891">
        <w:t xml:space="preserve"> Settlement Process </w:t>
      </w:r>
      <w:r>
        <w:t>is performed after the Daily Settlement Process is concluded for each day of the calendar month.</w:t>
      </w:r>
      <w:r w:rsidRPr="00C87891">
        <w:t xml:space="preserve"> It covers the correction of daily settlement (if any) and </w:t>
      </w:r>
      <w:r>
        <w:t xml:space="preserve">consolidation of the results of all the DSPR. </w:t>
      </w:r>
      <w:r w:rsidR="002E2691">
        <w:t>Coordination</w:t>
      </w:r>
      <w:r w:rsidR="008D666C">
        <w:t xml:space="preserve"> Centre</w:t>
      </w:r>
      <w:r>
        <w:t>s send the consolidated results to each TSO through the Monthly Settlement Report (MSR). The TSOs shall confirm the MSR</w:t>
      </w:r>
      <w:r w:rsidRPr="00C6202F">
        <w:t xml:space="preserve"> </w:t>
      </w:r>
      <w:r w:rsidRPr="00C87891">
        <w:t xml:space="preserve">according to the </w:t>
      </w:r>
      <w:r>
        <w:t xml:space="preserve">ACCOUNTING AND FINANCIAL SETTLEMENT OF KF, ACE AND RAMPING PERIOD (FSKAR) IMPLEMENTATION GUIDE. </w:t>
      </w:r>
      <w:r w:rsidR="004D51F1">
        <w:t xml:space="preserve">After receiving all confirmations from the TSOs, the Settlement Process is concluded and the monthly results are considered final. </w:t>
      </w:r>
    </w:p>
    <w:p w14:paraId="1427257A" w14:textId="406B6B23" w:rsidR="003D2C9D" w:rsidRDefault="009124AA" w:rsidP="00945BFA">
      <w:r>
        <w:rPr>
          <w:rFonts w:eastAsia="Batang"/>
          <w:noProof/>
          <w:lang w:val="de-DE" w:eastAsia="de-DE"/>
        </w:rPr>
        <w:drawing>
          <wp:inline distT="0" distB="0" distL="0" distR="0" wp14:anchorId="17028A80" wp14:editId="10639A6C">
            <wp:extent cx="5844209" cy="3806815"/>
            <wp:effectExtent l="0" t="0" r="4445" b="381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9340" cy="3836213"/>
                    </a:xfrm>
                    <a:prstGeom prst="rect">
                      <a:avLst/>
                    </a:prstGeom>
                    <a:noFill/>
                  </pic:spPr>
                </pic:pic>
              </a:graphicData>
            </a:graphic>
          </wp:inline>
        </w:drawing>
      </w:r>
    </w:p>
    <w:p w14:paraId="16D993D7" w14:textId="76169BBD" w:rsidR="00217FC9" w:rsidRPr="00C87891" w:rsidRDefault="00217FC9" w:rsidP="00217FC9">
      <w:pPr>
        <w:pStyle w:val="Caption"/>
        <w:rPr>
          <w:rFonts w:eastAsia="Batang"/>
        </w:rPr>
      </w:pPr>
      <w:bookmarkStart w:id="45" w:name="_Ref55914989"/>
      <w:bookmarkStart w:id="46" w:name="_Ref55914983"/>
      <w:r>
        <w:t xml:space="preserve">Figure </w:t>
      </w:r>
      <w:r>
        <w:fldChar w:fldCharType="begin"/>
      </w:r>
      <w:r>
        <w:instrText xml:space="preserve"> SEQ Figure \* ARABIC </w:instrText>
      </w:r>
      <w:r>
        <w:fldChar w:fldCharType="separate"/>
      </w:r>
      <w:r w:rsidR="00D26D46">
        <w:rPr>
          <w:noProof/>
        </w:rPr>
        <w:t>2</w:t>
      </w:r>
      <w:r>
        <w:fldChar w:fldCharType="end"/>
      </w:r>
      <w:bookmarkEnd w:id="44"/>
      <w:bookmarkEnd w:id="45"/>
      <w:r>
        <w:t>. Workflow of the accounting and settlement process</w:t>
      </w:r>
      <w:bookmarkEnd w:id="46"/>
    </w:p>
    <w:p w14:paraId="64280D03" w14:textId="286635A0" w:rsidR="004D6757" w:rsidRPr="00C87891" w:rsidRDefault="004D6757" w:rsidP="002C2863">
      <w:pPr>
        <w:rPr>
          <w:rFonts w:eastAsia="Batang"/>
        </w:rPr>
      </w:pPr>
    </w:p>
    <w:p w14:paraId="6B4F31E2" w14:textId="77777777" w:rsidR="00945BFA" w:rsidRPr="00C87891" w:rsidRDefault="00945BFA" w:rsidP="00653067">
      <w:pPr>
        <w:pStyle w:val="Heading3"/>
      </w:pPr>
      <w:bookmarkStart w:id="47" w:name="_Toc54000670"/>
      <w:bookmarkStart w:id="48" w:name="_Toc54000671"/>
      <w:bookmarkStart w:id="49" w:name="_Toc54000672"/>
      <w:bookmarkStart w:id="50" w:name="_Toc54000673"/>
      <w:bookmarkStart w:id="51" w:name="_Toc54000674"/>
      <w:bookmarkStart w:id="52" w:name="_Toc54000675"/>
      <w:bookmarkStart w:id="53" w:name="_Toc54000676"/>
      <w:bookmarkStart w:id="54" w:name="_Toc54000677"/>
      <w:bookmarkStart w:id="55" w:name="_Toc54000678"/>
      <w:bookmarkStart w:id="56" w:name="_Toc107495717"/>
      <w:bookmarkEnd w:id="47"/>
      <w:bookmarkEnd w:id="48"/>
      <w:bookmarkEnd w:id="49"/>
      <w:bookmarkEnd w:id="50"/>
      <w:bookmarkEnd w:id="51"/>
      <w:bookmarkEnd w:id="52"/>
      <w:bookmarkEnd w:id="53"/>
      <w:bookmarkEnd w:id="54"/>
      <w:bookmarkEnd w:id="55"/>
      <w:r w:rsidRPr="00C87891">
        <w:t>Consideration of time shift CET - CEST</w:t>
      </w:r>
      <w:bookmarkEnd w:id="56"/>
      <w:r w:rsidRPr="00C87891">
        <w:t xml:space="preserve"> </w:t>
      </w:r>
    </w:p>
    <w:p w14:paraId="5839992C" w14:textId="75157FFC" w:rsidR="00945BFA" w:rsidRPr="00C87891" w:rsidRDefault="00945BFA" w:rsidP="00945BFA">
      <w:r w:rsidRPr="00C87891">
        <w:t xml:space="preserve">For the day </w:t>
      </w:r>
      <w:r w:rsidR="00CD609B" w:rsidRPr="00C87891">
        <w:t xml:space="preserve">with </w:t>
      </w:r>
      <w:r w:rsidRPr="00C87891">
        <w:t>a duration of 23</w:t>
      </w:r>
      <w:r w:rsidR="00CD609B" w:rsidRPr="00C87891">
        <w:t xml:space="preserve"> </w:t>
      </w:r>
      <w:r w:rsidRPr="00C87891">
        <w:t>h</w:t>
      </w:r>
      <w:r w:rsidR="00CD609B" w:rsidRPr="00C87891">
        <w:t>ours</w:t>
      </w:r>
      <w:r w:rsidRPr="00C87891">
        <w:t xml:space="preserve">, the period </w:t>
      </w:r>
      <w:r w:rsidR="00CD609B" w:rsidRPr="00C87891">
        <w:t xml:space="preserve">from </w:t>
      </w:r>
      <w:smartTag w:uri="urn:schemas-microsoft-com:office:smarttags" w:element="time">
        <w:smartTagPr>
          <w:attr w:name="Hour" w:val="2"/>
          <w:attr w:name="Minute" w:val="0"/>
        </w:smartTagPr>
        <w:r w:rsidRPr="00C87891">
          <w:t>02:00 to 03:00</w:t>
        </w:r>
      </w:smartTag>
      <w:r w:rsidRPr="00C87891">
        <w:t xml:space="preserve"> </w:t>
      </w:r>
      <w:r w:rsidR="00CD609B" w:rsidRPr="00C87891">
        <w:t xml:space="preserve">shall </w:t>
      </w:r>
      <w:r w:rsidR="00BE1462" w:rsidRPr="00C87891">
        <w:t>not be considered</w:t>
      </w:r>
      <w:r w:rsidRPr="00C87891">
        <w:t xml:space="preserve">. </w:t>
      </w:r>
    </w:p>
    <w:p w14:paraId="34B60061" w14:textId="477BDDA5" w:rsidR="00945BFA" w:rsidRDefault="00945BFA" w:rsidP="00945BFA">
      <w:r w:rsidRPr="00C87891">
        <w:t xml:space="preserve">For the day </w:t>
      </w:r>
      <w:r w:rsidR="00CD609B" w:rsidRPr="00C87891">
        <w:t xml:space="preserve">with </w:t>
      </w:r>
      <w:r w:rsidRPr="00C87891">
        <w:t>a duration period of 25</w:t>
      </w:r>
      <w:r w:rsidR="00CD609B" w:rsidRPr="00C87891">
        <w:t xml:space="preserve"> </w:t>
      </w:r>
      <w:r w:rsidRPr="00C87891">
        <w:t>h</w:t>
      </w:r>
      <w:r w:rsidR="00CD609B" w:rsidRPr="00C87891">
        <w:t>ours</w:t>
      </w:r>
      <w:r w:rsidRPr="00C87891">
        <w:t>, the period</w:t>
      </w:r>
      <w:r w:rsidR="00CD609B" w:rsidRPr="00C87891">
        <w:t xml:space="preserve"> from</w:t>
      </w:r>
      <w:r w:rsidRPr="00C87891">
        <w:t xml:space="preserve"> </w:t>
      </w:r>
      <w:smartTag w:uri="urn:schemas-microsoft-com:office:smarttags" w:element="time">
        <w:smartTagPr>
          <w:attr w:name="Hour" w:val="2"/>
          <w:attr w:name="Minute" w:val="0"/>
        </w:smartTagPr>
        <w:r w:rsidRPr="00C87891">
          <w:t>02:00 to 03:00</w:t>
        </w:r>
      </w:smartTag>
      <w:r w:rsidRPr="00C87891">
        <w:t xml:space="preserve"> </w:t>
      </w:r>
      <w:r w:rsidR="00CD609B" w:rsidRPr="00C87891">
        <w:t xml:space="preserve">shall </w:t>
      </w:r>
      <w:r w:rsidRPr="00C87891">
        <w:t xml:space="preserve">be considered </w:t>
      </w:r>
      <w:r w:rsidR="00CD609B" w:rsidRPr="00C87891">
        <w:t xml:space="preserve">to be extended to </w:t>
      </w:r>
      <w:r w:rsidRPr="00C87891">
        <w:t xml:space="preserve">two hours for the calculation. </w:t>
      </w:r>
    </w:p>
    <w:p w14:paraId="09999DEE" w14:textId="395187C2" w:rsidR="004031EC" w:rsidRDefault="004031EC" w:rsidP="00632FF6">
      <w:pPr>
        <w:pStyle w:val="Heading3"/>
      </w:pPr>
      <w:bookmarkStart w:id="57" w:name="_Toc107495718"/>
      <w:r>
        <w:lastRenderedPageBreak/>
        <w:t>Area Consideration</w:t>
      </w:r>
      <w:bookmarkEnd w:id="57"/>
    </w:p>
    <w:p w14:paraId="07D1E590" w14:textId="55166C30" w:rsidR="004031EC" w:rsidRDefault="004031EC">
      <w:r>
        <w:t xml:space="preserve">Per default, the Accounting and Settlement Process shall be performed on LFC area level. This requires that each LFC Area Operator shall send the relevant data for performing the process to the </w:t>
      </w:r>
      <w:r w:rsidR="002E2691">
        <w:t>Coordination</w:t>
      </w:r>
      <w:r w:rsidR="008D666C">
        <w:t xml:space="preserve"> Centre</w:t>
      </w:r>
      <w:r>
        <w:t>s.</w:t>
      </w:r>
    </w:p>
    <w:p w14:paraId="268553B2" w14:textId="584148EC" w:rsidR="004031EC" w:rsidRDefault="004031EC">
      <w:r>
        <w:t xml:space="preserve">Alternatively, LFC blocks may agree on performing Accounting and Settlement Process on LFC Block level, for which the LFC Block Operator shall send the relevant data aggregated for the LFC Block to the </w:t>
      </w:r>
      <w:r w:rsidR="002E2691">
        <w:t>Coordination</w:t>
      </w:r>
      <w:r w:rsidR="008D666C">
        <w:t xml:space="preserve"> Centre</w:t>
      </w:r>
      <w:r>
        <w:t>s</w:t>
      </w:r>
      <w:r w:rsidR="00082AC3">
        <w:t>, if all LFC areas of the LFC Block jointly agree on this. The list of LFC Blocks performing Accounting and Settlement Process on LFC Block level is included in C-10-4</w:t>
      </w:r>
      <w:r>
        <w:t xml:space="preserve">. </w:t>
      </w:r>
    </w:p>
    <w:p w14:paraId="0DCE7571" w14:textId="27943828" w:rsidR="00A43E20" w:rsidRPr="00C87891" w:rsidRDefault="004031EC" w:rsidP="009331A7">
      <w:r>
        <w:t xml:space="preserve">The </w:t>
      </w:r>
      <w:r w:rsidR="009811C0">
        <w:t>Day-Ahead Market Prices (DAMPs)</w:t>
      </w:r>
      <w:r w:rsidR="00CB1BA6">
        <w:t xml:space="preserve"> are determined per LFC Block as detailed in Chapter </w:t>
      </w:r>
      <w:r w:rsidR="00655078">
        <w:fldChar w:fldCharType="begin"/>
      </w:r>
      <w:r w:rsidR="00655078">
        <w:instrText xml:space="preserve"> REF _Ref75847453 \r \h </w:instrText>
      </w:r>
      <w:r w:rsidR="00655078">
        <w:fldChar w:fldCharType="separate"/>
      </w:r>
      <w:r w:rsidR="00D26D46">
        <w:t>C-6-2-1</w:t>
      </w:r>
      <w:r w:rsidR="00655078">
        <w:fldChar w:fldCharType="end"/>
      </w:r>
      <w:r w:rsidR="00A43E20" w:rsidRPr="00C87891">
        <w:br w:type="page"/>
      </w:r>
    </w:p>
    <w:p w14:paraId="447C2C38" w14:textId="77777777" w:rsidR="00723C31" w:rsidRPr="00C87891" w:rsidRDefault="00723C31" w:rsidP="00723C31">
      <w:pPr>
        <w:pStyle w:val="Heading2"/>
      </w:pPr>
      <w:bookmarkStart w:id="58" w:name="_Toc107495719"/>
      <w:r w:rsidRPr="00C87891">
        <w:lastRenderedPageBreak/>
        <w:t>Standards - General rules</w:t>
      </w:r>
      <w:bookmarkEnd w:id="58"/>
      <w:r w:rsidRPr="00C87891">
        <w:t xml:space="preserve"> </w:t>
      </w:r>
    </w:p>
    <w:p w14:paraId="6AB934B6" w14:textId="77777777" w:rsidR="00AB68C8" w:rsidRPr="00C87891" w:rsidRDefault="00AB68C8" w:rsidP="00AB68C8">
      <w:pPr>
        <w:pStyle w:val="Heading3"/>
      </w:pPr>
      <w:bookmarkStart w:id="59" w:name="_Toc107495720"/>
      <w:r w:rsidRPr="00C87891">
        <w:t>Accounting and Settlement Period</w:t>
      </w:r>
      <w:bookmarkEnd w:id="59"/>
      <w:r w:rsidRPr="00C87891">
        <w:t xml:space="preserve"> </w:t>
      </w:r>
    </w:p>
    <w:p w14:paraId="5E28182F" w14:textId="0A8C2CBC" w:rsidR="00AB68C8" w:rsidRPr="00C87891" w:rsidRDefault="00AB68C8" w:rsidP="00AB68C8">
      <w:r w:rsidRPr="00C87891">
        <w:t xml:space="preserve">The daily accounting and settlement is done for the day “D” </w:t>
      </w:r>
      <w:r w:rsidRPr="00C87891">
        <w:rPr>
          <w:lang w:val="en-US"/>
        </w:rPr>
        <w:t xml:space="preserve">on the next </w:t>
      </w:r>
      <w:r w:rsidR="00F2016E">
        <w:rPr>
          <w:lang w:val="en-US"/>
        </w:rPr>
        <w:t>W</w:t>
      </w:r>
      <w:r w:rsidRPr="00C87891">
        <w:rPr>
          <w:lang w:val="en-US"/>
        </w:rPr>
        <w:t xml:space="preserve">orking </w:t>
      </w:r>
      <w:r w:rsidR="00F2016E">
        <w:rPr>
          <w:lang w:val="en-US"/>
        </w:rPr>
        <w:t>D</w:t>
      </w:r>
      <w:r w:rsidRPr="00C87891">
        <w:rPr>
          <w:lang w:val="en-US"/>
        </w:rPr>
        <w:t xml:space="preserve">ay. </w:t>
      </w:r>
    </w:p>
    <w:p w14:paraId="4334BCC2" w14:textId="23EFBDDC" w:rsidR="00AB68C8" w:rsidRPr="00C87891" w:rsidRDefault="00AB68C8" w:rsidP="00AB68C8">
      <w:r w:rsidRPr="00C87891">
        <w:t xml:space="preserve">The </w:t>
      </w:r>
      <w:r w:rsidR="00197DA8">
        <w:t>monthly</w:t>
      </w:r>
      <w:r w:rsidR="00197DA8" w:rsidRPr="00C87891">
        <w:t xml:space="preserve"> </w:t>
      </w:r>
      <w:r w:rsidRPr="00C87891">
        <w:t xml:space="preserve">settlement is done for the </w:t>
      </w:r>
      <w:r w:rsidR="008A29D7">
        <w:t>calendar month</w:t>
      </w:r>
      <w:r w:rsidRPr="00C87891">
        <w:t>.</w:t>
      </w:r>
    </w:p>
    <w:p w14:paraId="593A37B7" w14:textId="77777777" w:rsidR="00723C31" w:rsidRPr="00C87891" w:rsidRDefault="00AB68C8" w:rsidP="00653067">
      <w:pPr>
        <w:pStyle w:val="Heading3"/>
      </w:pPr>
      <w:bookmarkStart w:id="60" w:name="_Ref523390360"/>
      <w:bookmarkStart w:id="61" w:name="_Toc107495721"/>
      <w:r w:rsidRPr="00C87891">
        <w:t>Availability</w:t>
      </w:r>
      <w:bookmarkEnd w:id="60"/>
      <w:bookmarkEnd w:id="61"/>
    </w:p>
    <w:p w14:paraId="29784E22" w14:textId="1175C599" w:rsidR="00723C31" w:rsidRPr="00C87891" w:rsidRDefault="00723C31" w:rsidP="00723C31">
      <w:r w:rsidRPr="00C87891">
        <w:t xml:space="preserve">Accounting offices have to be available on working days from 08:00 to </w:t>
      </w:r>
      <w:smartTag w:uri="urn:schemas-microsoft-com:office:smarttags" w:element="time">
        <w:smartTagPr>
          <w:attr w:name="Hour" w:val="11"/>
          <w:attr w:name="Minute" w:val="30"/>
        </w:smartTagPr>
        <w:r w:rsidRPr="00C87891">
          <w:t>11:30</w:t>
        </w:r>
      </w:smartTag>
      <w:r w:rsidRPr="00C87891">
        <w:t xml:space="preserve"> and 13:30 to 16:00 CET respectively CEST.</w:t>
      </w:r>
    </w:p>
    <w:p w14:paraId="075A425A" w14:textId="77777777" w:rsidR="00253994" w:rsidRPr="00C87891" w:rsidRDefault="00253994" w:rsidP="00653067">
      <w:pPr>
        <w:pStyle w:val="Heading3"/>
      </w:pPr>
      <w:bookmarkStart w:id="62" w:name="_Ref523401129"/>
      <w:bookmarkStart w:id="63" w:name="_Toc107495722"/>
      <w:r w:rsidRPr="00C87891">
        <w:t>Local exceptions</w:t>
      </w:r>
      <w:bookmarkEnd w:id="62"/>
      <w:bookmarkEnd w:id="63"/>
      <w:r w:rsidRPr="00C87891">
        <w:t xml:space="preserve"> </w:t>
      </w:r>
    </w:p>
    <w:p w14:paraId="2CB01B90" w14:textId="5B977D9E" w:rsidR="00253994" w:rsidRPr="00C87891" w:rsidRDefault="00253994" w:rsidP="00723C31">
      <w:r w:rsidRPr="00C87891">
        <w:t>In case of unavailability of an accounting office, e.g. system maintenance</w:t>
      </w:r>
      <w:r w:rsidR="008A29D7">
        <w:t>, local holidays</w:t>
      </w:r>
      <w:r w:rsidRPr="00C87891">
        <w:t xml:space="preserve">, the office in question must inform the </w:t>
      </w:r>
      <w:r w:rsidR="002E2691">
        <w:t>Coordination</w:t>
      </w:r>
      <w:r w:rsidR="008D666C">
        <w:t xml:space="preserve"> Centre</w:t>
      </w:r>
      <w:r w:rsidR="00F2016E">
        <w:t xml:space="preserve"> and other </w:t>
      </w:r>
      <w:r w:rsidR="008A29D7">
        <w:t>affected TSOs</w:t>
      </w:r>
      <w:r w:rsidRPr="00C87891">
        <w:t xml:space="preserve"> at least </w:t>
      </w:r>
      <w:r w:rsidR="00673708" w:rsidRPr="00C87891">
        <w:t xml:space="preserve">4 </w:t>
      </w:r>
      <w:r w:rsidR="008A29D7">
        <w:t>days</w:t>
      </w:r>
      <w:r w:rsidRPr="00C87891">
        <w:t xml:space="preserve"> before</w:t>
      </w:r>
      <w:r w:rsidRPr="00C87891">
        <w:rPr>
          <w:sz w:val="24"/>
          <w:szCs w:val="24"/>
        </w:rPr>
        <w:t>.</w:t>
      </w:r>
      <w:r w:rsidR="00F2016E" w:rsidRPr="00F2016E">
        <w:t xml:space="preserve"> In case of unexpected </w:t>
      </w:r>
      <w:r w:rsidR="004F2958">
        <w:t>un</w:t>
      </w:r>
      <w:r w:rsidR="00F2016E" w:rsidRPr="00F2016E">
        <w:t>availabilities, as soon as possible</w:t>
      </w:r>
      <w:r w:rsidR="00F2016E" w:rsidRPr="00082AC3">
        <w:t>.</w:t>
      </w:r>
    </w:p>
    <w:p w14:paraId="7B1E24DF" w14:textId="77777777" w:rsidR="00723C31" w:rsidRPr="00C87891" w:rsidRDefault="00723C31" w:rsidP="00653067">
      <w:pPr>
        <w:pStyle w:val="Heading3"/>
      </w:pPr>
      <w:bookmarkStart w:id="64" w:name="_Toc107495723"/>
      <w:r w:rsidRPr="00C87891">
        <w:t>Consideration of DC-links</w:t>
      </w:r>
      <w:bookmarkEnd w:id="64"/>
    </w:p>
    <w:p w14:paraId="4E797CBE" w14:textId="77777777" w:rsidR="00723C31" w:rsidRDefault="00BE6316" w:rsidP="00723C31">
      <w:r>
        <w:t>DC links between CE LFC areas will be conside</w:t>
      </w:r>
      <w:r w:rsidR="00BC73AB">
        <w:t>red in the SA CE Accounting and S</w:t>
      </w:r>
      <w:r>
        <w:t>ettlement process, only if they are considered</w:t>
      </w:r>
      <w:r w:rsidR="00C06B48">
        <w:t xml:space="preserve"> by both connecting TSOs</w:t>
      </w:r>
      <w:r>
        <w:t xml:space="preserve"> in the exchange programs and in the LFC</w:t>
      </w:r>
      <w:r w:rsidR="00BC73AB">
        <w:t xml:space="preserve"> Controller</w:t>
      </w:r>
      <w:r>
        <w:t>.</w:t>
      </w:r>
    </w:p>
    <w:p w14:paraId="27FB2CC4" w14:textId="3E920825" w:rsidR="004157C8" w:rsidRPr="00C87891" w:rsidRDefault="00BE6316" w:rsidP="00723C31">
      <w:r>
        <w:t xml:space="preserve">DC links between synchronous areas cannot be considered in the </w:t>
      </w:r>
      <w:r w:rsidR="007F3204">
        <w:t xml:space="preserve">SA CE </w:t>
      </w:r>
      <w:r>
        <w:t>accounting and settlement process.</w:t>
      </w:r>
    </w:p>
    <w:p w14:paraId="69F128E7" w14:textId="77777777" w:rsidR="00723C31" w:rsidRPr="00C87891" w:rsidRDefault="00723C31" w:rsidP="00653067">
      <w:pPr>
        <w:pStyle w:val="Heading3"/>
      </w:pPr>
      <w:bookmarkStart w:id="65" w:name="_Toc107495724"/>
      <w:r w:rsidRPr="00C87891">
        <w:t>Modification of the accounting process and related data</w:t>
      </w:r>
      <w:bookmarkEnd w:id="65"/>
    </w:p>
    <w:p w14:paraId="63BB0D9E" w14:textId="00D3D011" w:rsidR="00723C31" w:rsidRPr="00C87891" w:rsidRDefault="003D36C8" w:rsidP="00723C31">
      <w:r>
        <w:t>The SAFA parties</w:t>
      </w:r>
      <w:r w:rsidR="00723C31" w:rsidRPr="00C87891">
        <w:t xml:space="preserve"> must provide the complete and correct information about all issues affecting the </w:t>
      </w:r>
      <w:r w:rsidR="00BE1462" w:rsidRPr="00C87891">
        <w:t>Accounting Process</w:t>
      </w:r>
      <w:r w:rsidR="00723C31" w:rsidRPr="00C87891">
        <w:t xml:space="preserve"> e.g. new or changes of tie lines (including DC-links</w:t>
      </w:r>
      <w:r w:rsidR="009331A7" w:rsidRPr="00C87891">
        <w:t xml:space="preserve"> and virtual tie-lines</w:t>
      </w:r>
      <w:r w:rsidR="00723C31" w:rsidRPr="00C87891">
        <w:t xml:space="preserve">), etc. </w:t>
      </w:r>
    </w:p>
    <w:p w14:paraId="1A064F3A" w14:textId="02548560" w:rsidR="00723C31" w:rsidRPr="00C87891" w:rsidRDefault="00723C31" w:rsidP="00723C31">
      <w:r w:rsidRPr="00C87891">
        <w:t xml:space="preserve">In case of changes the requesting TSO must inform the affected TSO and </w:t>
      </w:r>
      <w:r w:rsidR="002E2691">
        <w:t>Coordination</w:t>
      </w:r>
      <w:r w:rsidR="008D666C">
        <w:t xml:space="preserve"> Centre</w:t>
      </w:r>
      <w:r w:rsidRPr="00C87891">
        <w:t xml:space="preserve"> at least 30 </w:t>
      </w:r>
      <w:r w:rsidR="00F04836">
        <w:t xml:space="preserve">calendar </w:t>
      </w:r>
      <w:r w:rsidRPr="00C87891">
        <w:t xml:space="preserve">days in advance by means of the registration </w:t>
      </w:r>
      <w:r w:rsidR="004D6757" w:rsidRPr="00C87891">
        <w:t>form</w:t>
      </w:r>
      <w:r w:rsidR="00BE1462" w:rsidRPr="00C87891">
        <w:t xml:space="preserve"> in </w:t>
      </w:r>
      <w:r w:rsidR="00BE1462" w:rsidRPr="00C87891">
        <w:fldChar w:fldCharType="begin"/>
      </w:r>
      <w:r w:rsidR="00BE1462" w:rsidRPr="00C87891">
        <w:instrText xml:space="preserve"> REF _Ref523403155 \r \h </w:instrText>
      </w:r>
      <w:r w:rsidR="00C87891">
        <w:instrText xml:space="preserve"> \* MERGEFORMAT </w:instrText>
      </w:r>
      <w:r w:rsidR="00BE1462" w:rsidRPr="00C87891">
        <w:fldChar w:fldCharType="separate"/>
      </w:r>
      <w:r w:rsidR="00D26D46">
        <w:t>C-12-3</w:t>
      </w:r>
      <w:r w:rsidR="00BE1462" w:rsidRPr="00C87891">
        <w:fldChar w:fldCharType="end"/>
      </w:r>
      <w:r w:rsidR="004D6757" w:rsidRPr="00C87891">
        <w:t>.</w:t>
      </w:r>
    </w:p>
    <w:p w14:paraId="7F1A1BF7" w14:textId="77777777" w:rsidR="00FA21A7" w:rsidRPr="00C87891" w:rsidRDefault="00FA21A7" w:rsidP="00AB68C8">
      <w:pPr>
        <w:pStyle w:val="Heading3"/>
      </w:pPr>
      <w:bookmarkStart w:id="66" w:name="_Toc107495725"/>
      <w:r w:rsidRPr="00C87891">
        <w:t>Rounding rules</w:t>
      </w:r>
      <w:bookmarkEnd w:id="66"/>
    </w:p>
    <w:p w14:paraId="27AFBFE7" w14:textId="07706AD3" w:rsidR="00FA21A7" w:rsidRDefault="00AD5F99" w:rsidP="00FA21A7">
      <w:r w:rsidRPr="00C87891">
        <w:t>Generally,</w:t>
      </w:r>
      <w:r w:rsidR="00FA21A7" w:rsidRPr="00C87891">
        <w:t xml:space="preserve"> the data exchanged is in MWh</w:t>
      </w:r>
      <w:r w:rsidR="00F2016E">
        <w:t xml:space="preserve"> with 3 decimal places (kWh precision)</w:t>
      </w:r>
      <w:r w:rsidR="00FA21A7" w:rsidRPr="00C87891">
        <w:t xml:space="preserve">. </w:t>
      </w:r>
    </w:p>
    <w:p w14:paraId="1C61CD6C" w14:textId="377F92C8" w:rsidR="004157C8" w:rsidRDefault="004157C8" w:rsidP="004157C8">
      <w:r>
        <w:t>The following rounding rules will be considered in the calculations</w:t>
      </w:r>
      <w:r w:rsidR="00F2016E">
        <w:t xml:space="preserve"> by </w:t>
      </w:r>
      <w:r w:rsidR="002E2691">
        <w:t>Coordination</w:t>
      </w:r>
      <w:r w:rsidR="008D666C">
        <w:t xml:space="preserve"> Centre</w:t>
      </w:r>
      <w:r w:rsidR="00F2016E">
        <w:t>s</w:t>
      </w:r>
      <w:r>
        <w:t xml:space="preserve">: </w:t>
      </w:r>
    </w:p>
    <w:p w14:paraId="6F126D2A" w14:textId="00491DF9" w:rsidR="004157C8" w:rsidRDefault="004157C8" w:rsidP="004157C8">
      <w:pPr>
        <w:numPr>
          <w:ilvl w:val="0"/>
          <w:numId w:val="57"/>
        </w:numPr>
        <w:rPr>
          <w:lang w:val="es-ES"/>
        </w:rPr>
      </w:pPr>
      <w:r>
        <w:rPr>
          <w:lang w:val="de-DE"/>
        </w:rPr>
        <w:t>For input data:</w:t>
      </w:r>
    </w:p>
    <w:p w14:paraId="7307AE1E" w14:textId="12D99E29" w:rsidR="004F2958" w:rsidRDefault="004F2958" w:rsidP="004157C8">
      <w:pPr>
        <w:numPr>
          <w:ilvl w:val="1"/>
          <w:numId w:val="57"/>
        </w:numPr>
        <w:rPr>
          <w:lang w:val="en-US"/>
        </w:rPr>
      </w:pPr>
      <w:r>
        <w:rPr>
          <w:lang w:val="en-US"/>
        </w:rPr>
        <w:t>Energy volumes (MWh) with 3 decimal places</w:t>
      </w:r>
    </w:p>
    <w:p w14:paraId="30F2E8A8" w14:textId="4AC141D7" w:rsidR="004157C8" w:rsidRPr="002C70EF" w:rsidRDefault="004157C8" w:rsidP="004157C8">
      <w:pPr>
        <w:numPr>
          <w:ilvl w:val="1"/>
          <w:numId w:val="57"/>
        </w:numPr>
        <w:rPr>
          <w:lang w:val="en-US"/>
        </w:rPr>
      </w:pPr>
      <w:r w:rsidRPr="00196B92">
        <w:rPr>
          <w:lang w:val="en-US"/>
        </w:rPr>
        <w:t>K-</w:t>
      </w:r>
      <w:r w:rsidR="007F79FA">
        <w:rPr>
          <w:lang w:val="en-US"/>
        </w:rPr>
        <w:t>f</w:t>
      </w:r>
      <w:r w:rsidRPr="00196B92">
        <w:rPr>
          <w:lang w:val="en-US"/>
        </w:rPr>
        <w:t>actors (MW/Hz)</w:t>
      </w:r>
      <w:r w:rsidR="00196B92">
        <w:rPr>
          <w:lang w:val="en-US"/>
        </w:rPr>
        <w:t xml:space="preserve"> with 3 decimal places.</w:t>
      </w:r>
    </w:p>
    <w:p w14:paraId="71D44D5E" w14:textId="35F5791E" w:rsidR="004157C8" w:rsidRDefault="004157C8" w:rsidP="004157C8">
      <w:pPr>
        <w:numPr>
          <w:ilvl w:val="1"/>
          <w:numId w:val="57"/>
        </w:numPr>
        <w:rPr>
          <w:lang w:val="en-US"/>
        </w:rPr>
      </w:pPr>
      <w:r w:rsidRPr="00196B92">
        <w:rPr>
          <w:lang w:val="en-US"/>
        </w:rPr>
        <w:t xml:space="preserve">DAMP (Eur/MWh) with 2 decimal places </w:t>
      </w:r>
      <w:r w:rsidR="00F2016E">
        <w:rPr>
          <w:lang w:val="en-US"/>
        </w:rPr>
        <w:t>(cent precision)</w:t>
      </w:r>
    </w:p>
    <w:p w14:paraId="78A91544" w14:textId="20E22DBB" w:rsidR="004157C8" w:rsidRDefault="004157C8" w:rsidP="004157C8">
      <w:pPr>
        <w:numPr>
          <w:ilvl w:val="1"/>
          <w:numId w:val="57"/>
        </w:numPr>
        <w:rPr>
          <w:lang w:val="en-US"/>
        </w:rPr>
      </w:pPr>
      <w:r w:rsidRPr="00196B92">
        <w:rPr>
          <w:lang w:val="en-US"/>
        </w:rPr>
        <w:t xml:space="preserve">Frequency deviation (mHz) with </w:t>
      </w:r>
      <w:r w:rsidR="00196B92">
        <w:rPr>
          <w:lang w:val="en-US"/>
        </w:rPr>
        <w:t>3 decimal places</w:t>
      </w:r>
    </w:p>
    <w:p w14:paraId="09A1D74E" w14:textId="77777777" w:rsidR="004157C8" w:rsidRDefault="004157C8" w:rsidP="004157C8">
      <w:pPr>
        <w:numPr>
          <w:ilvl w:val="0"/>
          <w:numId w:val="57"/>
        </w:numPr>
        <w:rPr>
          <w:lang w:val="es-ES"/>
        </w:rPr>
      </w:pPr>
      <w:r>
        <w:rPr>
          <w:lang w:val="de-DE"/>
        </w:rPr>
        <w:t>Calculation steps:</w:t>
      </w:r>
    </w:p>
    <w:p w14:paraId="20CD79B8" w14:textId="342ED5C1" w:rsidR="004157C8" w:rsidRDefault="004157C8" w:rsidP="004157C8">
      <w:pPr>
        <w:numPr>
          <w:ilvl w:val="1"/>
          <w:numId w:val="57"/>
        </w:numPr>
        <w:rPr>
          <w:lang w:val="en-US"/>
        </w:rPr>
      </w:pPr>
      <w:r w:rsidRPr="00196B92">
        <w:rPr>
          <w:lang w:val="en-US"/>
        </w:rPr>
        <w:lastRenderedPageBreak/>
        <w:t xml:space="preserve">Calculation of RP energy: MWh with 3 decimal places (kWh </w:t>
      </w:r>
      <w:r w:rsidR="00F2016E">
        <w:rPr>
          <w:lang w:val="en-US"/>
        </w:rPr>
        <w:t>precision</w:t>
      </w:r>
      <w:r w:rsidRPr="00196B92">
        <w:rPr>
          <w:lang w:val="en-US"/>
        </w:rPr>
        <w:t xml:space="preserve">), rounded commercially. Rounding differences are </w:t>
      </w:r>
      <w:r w:rsidR="00073C83">
        <w:rPr>
          <w:lang w:val="en-US"/>
        </w:rPr>
        <w:t>taken into account</w:t>
      </w:r>
      <w:r w:rsidRPr="00196B92">
        <w:rPr>
          <w:lang w:val="en-US"/>
        </w:rPr>
        <w:t xml:space="preserve"> by </w:t>
      </w:r>
      <w:r w:rsidR="0037032E">
        <w:rPr>
          <w:lang w:val="en-US"/>
        </w:rPr>
        <w:t xml:space="preserve">the </w:t>
      </w:r>
      <w:r w:rsidR="002E2691">
        <w:rPr>
          <w:lang w:val="en-US"/>
        </w:rPr>
        <w:t>Coordination</w:t>
      </w:r>
      <w:r w:rsidR="0037032E">
        <w:rPr>
          <w:lang w:val="en-US"/>
        </w:rPr>
        <w:t xml:space="preserve"> Centres</w:t>
      </w:r>
      <w:r w:rsidRPr="00196B92">
        <w:rPr>
          <w:lang w:val="en-US"/>
        </w:rPr>
        <w:t xml:space="preserve"> respectively, to ensure the sum of RP energy is zero.</w:t>
      </w:r>
    </w:p>
    <w:p w14:paraId="05C34C08" w14:textId="27164443" w:rsidR="004157C8" w:rsidRDefault="004157C8" w:rsidP="004157C8">
      <w:pPr>
        <w:numPr>
          <w:ilvl w:val="1"/>
          <w:numId w:val="57"/>
        </w:numPr>
        <w:rPr>
          <w:lang w:val="en-US"/>
        </w:rPr>
      </w:pPr>
      <w:r w:rsidRPr="00196B92">
        <w:rPr>
          <w:lang w:val="en-US"/>
        </w:rPr>
        <w:t xml:space="preserve">Calculation of FCP energy: MWh with 3 decimal places (kWh </w:t>
      </w:r>
      <w:r w:rsidR="00F2016E">
        <w:rPr>
          <w:lang w:val="en-US"/>
        </w:rPr>
        <w:t>precision</w:t>
      </w:r>
      <w:r w:rsidRPr="00196B92">
        <w:rPr>
          <w:lang w:val="en-US"/>
        </w:rPr>
        <w:t>), rounded commercially.</w:t>
      </w:r>
    </w:p>
    <w:p w14:paraId="30488D9F" w14:textId="03CB1174" w:rsidR="004157C8" w:rsidRDefault="004157C8" w:rsidP="004157C8">
      <w:pPr>
        <w:numPr>
          <w:ilvl w:val="1"/>
          <w:numId w:val="57"/>
        </w:numPr>
        <w:rPr>
          <w:lang w:val="en-US"/>
        </w:rPr>
      </w:pPr>
      <w:r w:rsidRPr="00196B92">
        <w:rPr>
          <w:lang w:val="en-US"/>
        </w:rPr>
        <w:t>Calculation of UE</w:t>
      </w:r>
      <w:r w:rsidR="001A6B98">
        <w:rPr>
          <w:lang w:val="en-US"/>
        </w:rPr>
        <w:t xml:space="preserve"> energy</w:t>
      </w:r>
      <w:r w:rsidRPr="00196B92">
        <w:rPr>
          <w:lang w:val="en-US"/>
        </w:rPr>
        <w:t xml:space="preserve">: MWh with 3 decimal places (kWh </w:t>
      </w:r>
      <w:r w:rsidR="00F2016E">
        <w:rPr>
          <w:lang w:val="en-US"/>
        </w:rPr>
        <w:t>precision</w:t>
      </w:r>
      <w:r w:rsidRPr="00196B92">
        <w:rPr>
          <w:lang w:val="en-US"/>
        </w:rPr>
        <w:t xml:space="preserve">), rounded commercially. Rounding differences are </w:t>
      </w:r>
      <w:r w:rsidR="00073C83">
        <w:rPr>
          <w:lang w:val="en-US"/>
        </w:rPr>
        <w:t>taken into account</w:t>
      </w:r>
      <w:r w:rsidRPr="00196B92">
        <w:rPr>
          <w:lang w:val="en-US"/>
        </w:rPr>
        <w:t xml:space="preserve"> by </w:t>
      </w:r>
      <w:r w:rsidR="0037032E">
        <w:rPr>
          <w:lang w:val="en-US"/>
        </w:rPr>
        <w:t xml:space="preserve">the </w:t>
      </w:r>
      <w:r w:rsidR="002E2691">
        <w:rPr>
          <w:lang w:val="en-US"/>
        </w:rPr>
        <w:t>Coordination</w:t>
      </w:r>
      <w:r w:rsidR="0037032E">
        <w:rPr>
          <w:lang w:val="en-US"/>
        </w:rPr>
        <w:t xml:space="preserve"> Centres</w:t>
      </w:r>
      <w:r w:rsidRPr="00196B92">
        <w:rPr>
          <w:lang w:val="en-US"/>
        </w:rPr>
        <w:t xml:space="preserve"> respectively, to ensure the sum of UE</w:t>
      </w:r>
      <w:r w:rsidR="00073C83">
        <w:rPr>
          <w:lang w:val="en-US"/>
        </w:rPr>
        <w:t xml:space="preserve"> and FCP energy</w:t>
      </w:r>
      <w:r w:rsidRPr="00196B92">
        <w:rPr>
          <w:lang w:val="en-US"/>
        </w:rPr>
        <w:t xml:space="preserve"> is zero.</w:t>
      </w:r>
    </w:p>
    <w:p w14:paraId="6A6DE7DF" w14:textId="5855ECB7" w:rsidR="004157C8" w:rsidRDefault="004157C8" w:rsidP="004157C8">
      <w:pPr>
        <w:numPr>
          <w:ilvl w:val="1"/>
          <w:numId w:val="57"/>
        </w:numPr>
        <w:rPr>
          <w:lang w:val="en-US"/>
        </w:rPr>
      </w:pPr>
      <w:r w:rsidRPr="00196B92">
        <w:rPr>
          <w:lang w:val="en-US"/>
        </w:rPr>
        <w:t>Calculation of price for FCP energy and UE</w:t>
      </w:r>
      <w:r w:rsidR="001A6B98">
        <w:rPr>
          <w:lang w:val="en-US"/>
        </w:rPr>
        <w:t xml:space="preserve"> energy</w:t>
      </w:r>
      <w:r w:rsidRPr="00196B92">
        <w:rPr>
          <w:lang w:val="en-US"/>
        </w:rPr>
        <w:t>: Euro with 2 decimal places, rounded commercially</w:t>
      </w:r>
    </w:p>
    <w:p w14:paraId="1565516C" w14:textId="2069356E" w:rsidR="004157C8" w:rsidRDefault="00073C83" w:rsidP="004157C8">
      <w:pPr>
        <w:numPr>
          <w:ilvl w:val="1"/>
          <w:numId w:val="57"/>
        </w:numPr>
        <w:rPr>
          <w:lang w:val="en-US"/>
        </w:rPr>
      </w:pPr>
      <w:r>
        <w:rPr>
          <w:lang w:val="en-US"/>
        </w:rPr>
        <w:t>Monetary values</w:t>
      </w:r>
      <w:r w:rsidR="004157C8" w:rsidRPr="00196B92">
        <w:rPr>
          <w:lang w:val="en-US"/>
        </w:rPr>
        <w:t xml:space="preserve"> (settlement volumes multiplied the prices): Euro with 2 decimal places, rounded commercially. Rounding differences are </w:t>
      </w:r>
      <w:r>
        <w:rPr>
          <w:lang w:val="en-US"/>
        </w:rPr>
        <w:t>taken into account</w:t>
      </w:r>
      <w:r w:rsidR="004157C8" w:rsidRPr="00196B92">
        <w:rPr>
          <w:lang w:val="en-US"/>
        </w:rPr>
        <w:t xml:space="preserve"> by </w:t>
      </w:r>
      <w:r w:rsidR="0037032E">
        <w:rPr>
          <w:lang w:val="en-US"/>
        </w:rPr>
        <w:t xml:space="preserve">the </w:t>
      </w:r>
      <w:r w:rsidR="002E2691">
        <w:rPr>
          <w:lang w:val="en-US"/>
        </w:rPr>
        <w:t>Coordination</w:t>
      </w:r>
      <w:r w:rsidR="0037032E">
        <w:rPr>
          <w:lang w:val="en-US"/>
        </w:rPr>
        <w:t xml:space="preserve"> Centres </w:t>
      </w:r>
      <w:r w:rsidR="004157C8" w:rsidRPr="00196B92">
        <w:rPr>
          <w:lang w:val="en-US"/>
        </w:rPr>
        <w:t xml:space="preserve">respectively, to ensure the sum is zero. </w:t>
      </w:r>
    </w:p>
    <w:p w14:paraId="67692FB6" w14:textId="77777777" w:rsidR="00196B92" w:rsidRDefault="004157C8" w:rsidP="004157C8">
      <w:pPr>
        <w:numPr>
          <w:ilvl w:val="0"/>
          <w:numId w:val="57"/>
        </w:numPr>
        <w:rPr>
          <w:lang w:val="en-US"/>
        </w:rPr>
      </w:pPr>
      <w:r w:rsidRPr="00196B92">
        <w:rPr>
          <w:lang w:val="en-US"/>
        </w:rPr>
        <w:t xml:space="preserve">For sake of clarity: </w:t>
      </w:r>
    </w:p>
    <w:p w14:paraId="468EB2DD" w14:textId="77777777" w:rsidR="00196B92" w:rsidRDefault="004157C8" w:rsidP="00196B92">
      <w:pPr>
        <w:numPr>
          <w:ilvl w:val="1"/>
          <w:numId w:val="57"/>
        </w:numPr>
        <w:rPr>
          <w:lang w:val="en-US"/>
        </w:rPr>
      </w:pPr>
      <w:r w:rsidRPr="00196B92">
        <w:rPr>
          <w:lang w:val="en-US"/>
        </w:rPr>
        <w:t xml:space="preserve">24,0005 rounds to 24,001; </w:t>
      </w:r>
    </w:p>
    <w:p w14:paraId="43301485" w14:textId="77777777" w:rsidR="00196B92" w:rsidRDefault="004157C8" w:rsidP="00196B92">
      <w:pPr>
        <w:numPr>
          <w:ilvl w:val="1"/>
          <w:numId w:val="57"/>
        </w:numPr>
        <w:rPr>
          <w:lang w:val="en-US"/>
        </w:rPr>
      </w:pPr>
      <w:r w:rsidRPr="00196B92">
        <w:rPr>
          <w:lang w:val="en-US"/>
        </w:rPr>
        <w:t xml:space="preserve">-24,0005 rounds to -24,001 </w:t>
      </w:r>
    </w:p>
    <w:p w14:paraId="477A600E" w14:textId="454DB00A" w:rsidR="004157C8" w:rsidRPr="009269CB" w:rsidRDefault="004157C8" w:rsidP="00632FF6">
      <w:pPr>
        <w:numPr>
          <w:ilvl w:val="1"/>
          <w:numId w:val="57"/>
        </w:numPr>
        <w:rPr>
          <w:lang w:val="en-US"/>
        </w:rPr>
      </w:pPr>
      <w:r w:rsidRPr="00196B92">
        <w:rPr>
          <w:lang w:val="en-US"/>
        </w:rPr>
        <w:t>and 24,00049</w:t>
      </w:r>
      <w:r w:rsidR="00196B92">
        <w:rPr>
          <w:lang w:val="en-US"/>
        </w:rPr>
        <w:t xml:space="preserve"> rounds to</w:t>
      </w:r>
      <w:r w:rsidRPr="00196B92">
        <w:rPr>
          <w:lang w:val="en-US"/>
        </w:rPr>
        <w:t xml:space="preserve"> 24,000</w:t>
      </w:r>
    </w:p>
    <w:p w14:paraId="7C94D9CC" w14:textId="77777777" w:rsidR="00FA21A7" w:rsidRPr="00C87891" w:rsidRDefault="00FA21A7" w:rsidP="00AB68C8">
      <w:pPr>
        <w:pStyle w:val="Heading3"/>
      </w:pPr>
      <w:bookmarkStart w:id="67" w:name="_Toc54000687"/>
      <w:bookmarkStart w:id="68" w:name="_Toc54000688"/>
      <w:bookmarkStart w:id="69" w:name="_Toc107495726"/>
      <w:bookmarkEnd w:id="67"/>
      <w:bookmarkEnd w:id="68"/>
      <w:r w:rsidRPr="00C87891">
        <w:t>Electronic Data Exchange</w:t>
      </w:r>
      <w:bookmarkEnd w:id="69"/>
      <w:r w:rsidRPr="00C87891">
        <w:t xml:space="preserve"> </w:t>
      </w:r>
    </w:p>
    <w:p w14:paraId="757469EE" w14:textId="27E0F386" w:rsidR="00FA21A7" w:rsidRPr="00C87891" w:rsidRDefault="00FA21A7" w:rsidP="00FA21A7">
      <w:r w:rsidRPr="00C87891">
        <w:t>Electronic data exchange for accounting and settlement is required using e-mail via EH. If the e-mail via EH is disturbed, an electronic back-up must be agreed such as e-mail via internet . If electronic communication is generally disturbed, fax or phone must be used as last back-up.</w:t>
      </w:r>
    </w:p>
    <w:p w14:paraId="0E10D55C" w14:textId="77777777" w:rsidR="00676775" w:rsidRPr="00C87891" w:rsidRDefault="00BE1462" w:rsidP="00AB68C8">
      <w:pPr>
        <w:pStyle w:val="Heading3"/>
      </w:pPr>
      <w:bookmarkStart w:id="70" w:name="_Ref523390386"/>
      <w:bookmarkStart w:id="71" w:name="_Toc107495727"/>
      <w:r w:rsidRPr="00C87891">
        <w:t>Trouble</w:t>
      </w:r>
      <w:r w:rsidR="00676775" w:rsidRPr="00C87891">
        <w:t>shooting</w:t>
      </w:r>
      <w:bookmarkEnd w:id="70"/>
      <w:bookmarkEnd w:id="71"/>
      <w:r w:rsidR="00676775" w:rsidRPr="00C87891">
        <w:t xml:space="preserve"> </w:t>
      </w:r>
    </w:p>
    <w:p w14:paraId="36D5F4AD" w14:textId="0A47AB7A" w:rsidR="00676775" w:rsidRDefault="00676775" w:rsidP="5BCF031F">
      <w:r w:rsidRPr="00C87891">
        <w:t xml:space="preserve">If the </w:t>
      </w:r>
      <w:r w:rsidR="00E249D9" w:rsidRPr="00C87891">
        <w:t>Accounting and Settlement Process</w:t>
      </w:r>
      <w:r w:rsidRPr="00C87891">
        <w:t xml:space="preserve"> cannot be performed like described</w:t>
      </w:r>
      <w:r w:rsidR="0054192A" w:rsidRPr="00C87891">
        <w:t>,</w:t>
      </w:r>
      <w:r w:rsidRPr="00C87891">
        <w:t xml:space="preserve"> the affected </w:t>
      </w:r>
      <w:r w:rsidR="00E43FE3">
        <w:t xml:space="preserve">TSO </w:t>
      </w:r>
      <w:r w:rsidRPr="00C87891">
        <w:t xml:space="preserve">must inform </w:t>
      </w:r>
      <w:r w:rsidR="00203E32">
        <w:t>without undue delay</w:t>
      </w:r>
      <w:r w:rsidR="00203E32" w:rsidRPr="00C87891">
        <w:t xml:space="preserve"> </w:t>
      </w:r>
      <w:r w:rsidRPr="00C87891">
        <w:t xml:space="preserve">the </w:t>
      </w:r>
      <w:r w:rsidR="00C46627">
        <w:t xml:space="preserve">affected TSO and </w:t>
      </w:r>
      <w:r w:rsidRPr="00C87891">
        <w:t xml:space="preserve">the related </w:t>
      </w:r>
      <w:r w:rsidR="002E2691">
        <w:t>Coordination</w:t>
      </w:r>
      <w:r w:rsidR="008D666C">
        <w:t xml:space="preserve"> Centre</w:t>
      </w:r>
      <w:r w:rsidR="002B35B9">
        <w:t>.</w:t>
      </w:r>
      <w:r w:rsidRPr="00C87891">
        <w:t xml:space="preserve"> The </w:t>
      </w:r>
      <w:r w:rsidR="002E2691">
        <w:t>Coordination</w:t>
      </w:r>
      <w:r w:rsidR="008D666C">
        <w:t xml:space="preserve"> Centre</w:t>
      </w:r>
      <w:r w:rsidR="00E249D9" w:rsidRPr="00C87891">
        <w:t>s</w:t>
      </w:r>
      <w:r w:rsidRPr="00C87891">
        <w:t xml:space="preserve"> then inform all </w:t>
      </w:r>
      <w:r w:rsidR="00D92FE4" w:rsidRPr="00C87891">
        <w:t xml:space="preserve">SA </w:t>
      </w:r>
      <w:r w:rsidRPr="00C87891">
        <w:t xml:space="preserve">CE </w:t>
      </w:r>
      <w:r w:rsidR="001A6B98">
        <w:t xml:space="preserve">affected </w:t>
      </w:r>
      <w:r w:rsidR="00C46627">
        <w:t>TSOs</w:t>
      </w:r>
      <w:r w:rsidRPr="00C87891">
        <w:t xml:space="preserve"> </w:t>
      </w:r>
      <w:r w:rsidR="00203E32">
        <w:t>without undue delay</w:t>
      </w:r>
      <w:r w:rsidR="007F79FA">
        <w:t>.</w:t>
      </w:r>
      <w:r w:rsidR="001A6B98">
        <w:t xml:space="preserve"> </w:t>
      </w:r>
      <w:r w:rsidRPr="00C87891">
        <w:t xml:space="preserve">Both </w:t>
      </w:r>
      <w:r w:rsidR="002E2691">
        <w:t>Coordination</w:t>
      </w:r>
      <w:r w:rsidR="008D666C">
        <w:t xml:space="preserve"> Centre</w:t>
      </w:r>
      <w:r w:rsidR="00E249D9" w:rsidRPr="00C87891">
        <w:t>s</w:t>
      </w:r>
      <w:r w:rsidRPr="00C87891">
        <w:t xml:space="preserve"> will agree on a solution and inform the related </w:t>
      </w:r>
      <w:r w:rsidR="00C46627">
        <w:t xml:space="preserve">TSOs </w:t>
      </w:r>
      <w:r w:rsidR="004D51F1" w:rsidRPr="004D51F1">
        <w:t xml:space="preserve"> </w:t>
      </w:r>
      <w:r w:rsidR="004D51F1">
        <w:t>without undue delay</w:t>
      </w:r>
      <w:r w:rsidR="004D51F1" w:rsidRPr="00C87891">
        <w:t>.</w:t>
      </w:r>
    </w:p>
    <w:p w14:paraId="4042F042" w14:textId="77777777" w:rsidR="00C93731" w:rsidRPr="00C87891" w:rsidRDefault="00C93731" w:rsidP="00723C31"/>
    <w:p w14:paraId="48CA5339" w14:textId="6E454D84" w:rsidR="00736A9B" w:rsidRPr="00C87891" w:rsidRDefault="00736A9B" w:rsidP="00727D87">
      <w:r w:rsidRPr="00C87891">
        <w:br w:type="page"/>
      </w:r>
    </w:p>
    <w:p w14:paraId="14E77EBC" w14:textId="73BBC3ED" w:rsidR="00723C31" w:rsidRPr="00C87891" w:rsidRDefault="00723C31" w:rsidP="00723C31">
      <w:pPr>
        <w:pStyle w:val="Heading2"/>
      </w:pPr>
      <w:bookmarkStart w:id="72" w:name="_Toc107495728"/>
      <w:r w:rsidRPr="00C87891">
        <w:lastRenderedPageBreak/>
        <w:t>Standards - Bilateral agreement for the accounting/settlement process</w:t>
      </w:r>
      <w:bookmarkEnd w:id="72"/>
    </w:p>
    <w:p w14:paraId="0FF5C1A6" w14:textId="37B92F9E" w:rsidR="00723C31" w:rsidRPr="00C87891" w:rsidRDefault="00723C31" w:rsidP="00723C31">
      <w:pPr>
        <w:rPr>
          <w:rFonts w:ascii="Arial" w:hAnsi="Arial" w:cs="Arial"/>
        </w:rPr>
      </w:pPr>
      <w:r w:rsidRPr="00C87891">
        <w:rPr>
          <w:rFonts w:ascii="Arial" w:hAnsi="Arial" w:cs="Arial"/>
        </w:rPr>
        <w:t xml:space="preserve">In order to perform the </w:t>
      </w:r>
      <w:r w:rsidR="00E249D9" w:rsidRPr="00C87891">
        <w:rPr>
          <w:rFonts w:ascii="Arial" w:hAnsi="Arial" w:cs="Arial"/>
        </w:rPr>
        <w:t>Accounting and Settlement Process</w:t>
      </w:r>
      <w:r w:rsidRPr="00C87891">
        <w:rPr>
          <w:rFonts w:ascii="Arial" w:hAnsi="Arial" w:cs="Arial"/>
        </w:rPr>
        <w:t xml:space="preserve"> in a correct manner</w:t>
      </w:r>
      <w:r w:rsidR="00E249D9" w:rsidRPr="00C87891">
        <w:rPr>
          <w:rFonts w:ascii="Arial" w:hAnsi="Arial" w:cs="Arial"/>
        </w:rPr>
        <w:t xml:space="preserve"> </w:t>
      </w:r>
      <w:r w:rsidRPr="00C87891">
        <w:rPr>
          <w:rFonts w:ascii="Arial" w:hAnsi="Arial" w:cs="Arial"/>
        </w:rPr>
        <w:t xml:space="preserve">the partners of a common border have to </w:t>
      </w:r>
      <w:r w:rsidR="00082AC3">
        <w:rPr>
          <w:rFonts w:ascii="Arial" w:hAnsi="Arial" w:cs="Arial"/>
        </w:rPr>
        <w:t>agree bilaterally</w:t>
      </w:r>
      <w:r w:rsidRPr="00C87891">
        <w:rPr>
          <w:rFonts w:ascii="Arial" w:hAnsi="Arial" w:cs="Arial"/>
        </w:rPr>
        <w:t xml:space="preserve"> </w:t>
      </w:r>
      <w:r w:rsidR="00C815CF">
        <w:rPr>
          <w:rFonts w:ascii="Arial" w:hAnsi="Arial" w:cs="Arial"/>
        </w:rPr>
        <w:t xml:space="preserve">on </w:t>
      </w:r>
      <w:r w:rsidR="00082AC3">
        <w:rPr>
          <w:rFonts w:ascii="Arial" w:hAnsi="Arial" w:cs="Arial"/>
        </w:rPr>
        <w:t xml:space="preserve">accounting </w:t>
      </w:r>
      <w:r w:rsidR="00C815CF">
        <w:rPr>
          <w:rFonts w:ascii="Arial" w:hAnsi="Arial" w:cs="Arial"/>
        </w:rPr>
        <w:t xml:space="preserve">metering data </w:t>
      </w:r>
      <w:r w:rsidR="00082AC3">
        <w:rPr>
          <w:rFonts w:ascii="Arial" w:hAnsi="Arial" w:cs="Arial"/>
        </w:rPr>
        <w:t>with respect to</w:t>
      </w:r>
      <w:r w:rsidRPr="00C87891">
        <w:rPr>
          <w:rFonts w:ascii="Arial" w:hAnsi="Arial" w:cs="Arial"/>
        </w:rPr>
        <w:t xml:space="preserve"> the following document: ENTSO-E </w:t>
      </w:r>
      <w:r w:rsidR="009331A7" w:rsidRPr="00C87891">
        <w:rPr>
          <w:rFonts w:ascii="Arial" w:hAnsi="Arial" w:cs="Arial"/>
        </w:rPr>
        <w:t>Guide for Agreement on Data Exchange Process for Accounting of Unintentional Deviation</w:t>
      </w:r>
      <w:r w:rsidRPr="00C87891">
        <w:rPr>
          <w:rFonts w:ascii="Arial" w:hAnsi="Arial" w:cs="Arial"/>
        </w:rPr>
        <w:t xml:space="preserve"> and including the following items:</w:t>
      </w:r>
    </w:p>
    <w:p w14:paraId="6212BE7E" w14:textId="77777777" w:rsidR="00723C31" w:rsidRPr="00C87891" w:rsidRDefault="00723C31" w:rsidP="00AB68C8">
      <w:pPr>
        <w:pStyle w:val="Heading3"/>
      </w:pPr>
      <w:bookmarkStart w:id="73" w:name="_Ref219864094"/>
      <w:bookmarkStart w:id="74" w:name="_Toc107495729"/>
      <w:r w:rsidRPr="00C87891">
        <w:t xml:space="preserve">List of </w:t>
      </w:r>
      <w:r w:rsidR="00A74A8E" w:rsidRPr="00C87891">
        <w:t>tie-lines</w:t>
      </w:r>
      <w:r w:rsidRPr="00C87891">
        <w:t>, meter measurement and accounting data</w:t>
      </w:r>
      <w:bookmarkEnd w:id="73"/>
      <w:bookmarkEnd w:id="74"/>
      <w:r w:rsidR="006451E3">
        <w:t xml:space="preserve"> </w:t>
      </w:r>
    </w:p>
    <w:p w14:paraId="0422C2AA" w14:textId="5CA3092F" w:rsidR="00723C31" w:rsidRPr="00C87891" w:rsidRDefault="00723C31" w:rsidP="00723C31">
      <w:r w:rsidRPr="00C87891">
        <w:t>TSO</w:t>
      </w:r>
      <w:r w:rsidR="00AB68C8" w:rsidRPr="00C87891">
        <w:t>s</w:t>
      </w:r>
      <w:r w:rsidRPr="00C87891">
        <w:t xml:space="preserve"> have to agree</w:t>
      </w:r>
      <w:r w:rsidR="00082AC3">
        <w:t xml:space="preserve"> bilaterally</w:t>
      </w:r>
      <w:r w:rsidRPr="00C87891">
        <w:t xml:space="preserve"> upon the list of </w:t>
      </w:r>
      <w:r w:rsidR="00E249D9" w:rsidRPr="00C87891">
        <w:t>Tie-Lines</w:t>
      </w:r>
      <w:r w:rsidRPr="00C87891">
        <w:t xml:space="preserve"> and </w:t>
      </w:r>
      <w:r w:rsidR="00E249D9" w:rsidRPr="00C87891">
        <w:t>Virtual Tie-Lines</w:t>
      </w:r>
      <w:r w:rsidRPr="00C87891">
        <w:t xml:space="preserve"> to be included in the </w:t>
      </w:r>
      <w:r w:rsidR="00D92FE4" w:rsidRPr="00C87891">
        <w:t xml:space="preserve">SA </w:t>
      </w:r>
      <w:r w:rsidR="00FF4F87" w:rsidRPr="00C87891">
        <w:t>CE</w:t>
      </w:r>
      <w:r w:rsidRPr="00C87891">
        <w:t xml:space="preserve"> </w:t>
      </w:r>
      <w:r w:rsidR="00E249D9" w:rsidRPr="00C87891">
        <w:t>Accounting Process</w:t>
      </w:r>
      <w:r w:rsidRPr="00C87891">
        <w:t xml:space="preserve"> according to the ENTSO-E </w:t>
      </w:r>
      <w:r w:rsidR="009331A7" w:rsidRPr="00C87891">
        <w:rPr>
          <w:rFonts w:ascii="Arial" w:hAnsi="Arial" w:cs="Arial"/>
        </w:rPr>
        <w:t>Guide for Agreement on Data Exchange Process for Accounting of Unintentional Deviation</w:t>
      </w:r>
      <w:r w:rsidRPr="00C87891">
        <w:t xml:space="preserve">. This list also has to provide information about meter measurement and </w:t>
      </w:r>
      <w:r w:rsidR="00E249D9" w:rsidRPr="00C87891">
        <w:t>Accounting Data</w:t>
      </w:r>
      <w:r w:rsidRPr="00C87891">
        <w:t>.</w:t>
      </w:r>
      <w:r w:rsidR="006451E3">
        <w:t xml:space="preserve"> </w:t>
      </w:r>
      <w:r w:rsidR="00D74B43" w:rsidRPr="00C87891">
        <w:t>It must provide:</w:t>
      </w:r>
    </w:p>
    <w:p w14:paraId="4492B3E5" w14:textId="77777777" w:rsidR="00D74B43" w:rsidRPr="00C87891" w:rsidRDefault="00D74B43" w:rsidP="00E25898">
      <w:pPr>
        <w:pStyle w:val="ListParagraph"/>
        <w:numPr>
          <w:ilvl w:val="0"/>
          <w:numId w:val="44"/>
        </w:numPr>
      </w:pPr>
      <w:r w:rsidRPr="00C87891">
        <w:t>Names of both involved TSOs</w:t>
      </w:r>
    </w:p>
    <w:p w14:paraId="4B0C449D" w14:textId="77777777" w:rsidR="00D74B43" w:rsidRPr="00C87891" w:rsidRDefault="00D74B43" w:rsidP="00E25898">
      <w:pPr>
        <w:pStyle w:val="ListParagraph"/>
        <w:numPr>
          <w:ilvl w:val="0"/>
          <w:numId w:val="44"/>
        </w:numPr>
      </w:pPr>
      <w:r w:rsidRPr="00C87891">
        <w:t xml:space="preserve">Name of </w:t>
      </w:r>
      <w:r w:rsidR="00E249D9" w:rsidRPr="00C87891">
        <w:t>Tie-Lines</w:t>
      </w:r>
    </w:p>
    <w:p w14:paraId="30B10E82" w14:textId="77777777" w:rsidR="00D74B43" w:rsidRPr="00C87891" w:rsidRDefault="00D74B43" w:rsidP="00E25898">
      <w:pPr>
        <w:pStyle w:val="ListParagraph"/>
        <w:numPr>
          <w:ilvl w:val="0"/>
          <w:numId w:val="44"/>
        </w:numPr>
      </w:pPr>
      <w:r w:rsidRPr="00C87891">
        <w:t xml:space="preserve">Name and related TSO of substations </w:t>
      </w:r>
      <w:r w:rsidR="00E249D9" w:rsidRPr="00C87891">
        <w:t>Tie-Line</w:t>
      </w:r>
      <w:r w:rsidRPr="00C87891">
        <w:t xml:space="preserve"> is connecting</w:t>
      </w:r>
    </w:p>
    <w:p w14:paraId="1386520B" w14:textId="77777777" w:rsidR="00D74B43" w:rsidRPr="00C87891" w:rsidRDefault="00D74B43" w:rsidP="00E25898">
      <w:pPr>
        <w:pStyle w:val="ListParagraph"/>
        <w:numPr>
          <w:ilvl w:val="0"/>
          <w:numId w:val="44"/>
        </w:numPr>
      </w:pPr>
      <w:r w:rsidRPr="00C87891">
        <w:t>List of measurement data to be used to derive the accounting value</w:t>
      </w:r>
    </w:p>
    <w:p w14:paraId="2306280B" w14:textId="77777777" w:rsidR="00D74B43" w:rsidRPr="00C87891" w:rsidRDefault="00D74B43" w:rsidP="00E25898">
      <w:pPr>
        <w:pStyle w:val="ListParagraph"/>
        <w:numPr>
          <w:ilvl w:val="0"/>
          <w:numId w:val="44"/>
        </w:numPr>
      </w:pPr>
      <w:r w:rsidRPr="00C87891">
        <w:t>List of measurement data to be exchanged</w:t>
      </w:r>
    </w:p>
    <w:p w14:paraId="3E3B02BE" w14:textId="77777777" w:rsidR="00D74B43" w:rsidRPr="00C87891" w:rsidRDefault="007550D2" w:rsidP="00E25898">
      <w:pPr>
        <w:pStyle w:val="ListParagraph"/>
        <w:numPr>
          <w:ilvl w:val="0"/>
          <w:numId w:val="44"/>
        </w:numPr>
      </w:pPr>
      <w:r w:rsidRPr="00C87891">
        <w:t>EIC</w:t>
      </w:r>
      <w:r w:rsidR="00D74B43" w:rsidRPr="00C87891">
        <w:t xml:space="preserve"> for each meter measurement data to be exchanged</w:t>
      </w:r>
    </w:p>
    <w:p w14:paraId="78E4F734" w14:textId="77777777" w:rsidR="00D74B43" w:rsidRPr="00C87891" w:rsidRDefault="007550D2" w:rsidP="00E25898">
      <w:pPr>
        <w:pStyle w:val="ListParagraph"/>
        <w:numPr>
          <w:ilvl w:val="0"/>
          <w:numId w:val="44"/>
        </w:numPr>
      </w:pPr>
      <w:r w:rsidRPr="00C87891">
        <w:t>EIC</w:t>
      </w:r>
      <w:r w:rsidR="00D74B43" w:rsidRPr="00C87891">
        <w:t xml:space="preserve"> of accounting point</w:t>
      </w:r>
    </w:p>
    <w:p w14:paraId="02EC9156" w14:textId="77777777" w:rsidR="00D74B43" w:rsidRPr="00C87891" w:rsidRDefault="00D74B43" w:rsidP="00E25898">
      <w:pPr>
        <w:pStyle w:val="ListParagraph"/>
        <w:numPr>
          <w:ilvl w:val="0"/>
          <w:numId w:val="44"/>
        </w:numPr>
      </w:pPr>
      <w:r w:rsidRPr="00C87891">
        <w:t xml:space="preserve">If line losses to be considered, agreement on formula to calculate </w:t>
      </w:r>
      <w:r w:rsidR="00E249D9" w:rsidRPr="00C87891">
        <w:t>Accounting Data</w:t>
      </w:r>
    </w:p>
    <w:p w14:paraId="48904511" w14:textId="7A8A17A5" w:rsidR="00723C31" w:rsidRPr="00C87891" w:rsidRDefault="00723C31" w:rsidP="00723C31">
      <w:r w:rsidRPr="00C87891">
        <w:t xml:space="preserve">This agreed list must be transmitted towards the related </w:t>
      </w:r>
      <w:r w:rsidR="002E2691">
        <w:t>Coordination</w:t>
      </w:r>
      <w:r w:rsidR="008D666C">
        <w:t xml:space="preserve"> Centre</w:t>
      </w:r>
      <w:r w:rsidR="00E249D9" w:rsidRPr="00C87891">
        <w:t>s</w:t>
      </w:r>
      <w:r w:rsidRPr="00C87891">
        <w:t xml:space="preserve"> for </w:t>
      </w:r>
      <w:r w:rsidR="00D92FE4" w:rsidRPr="00C87891">
        <w:t xml:space="preserve">SA </w:t>
      </w:r>
      <w:r w:rsidR="00FF4F87" w:rsidRPr="00C87891">
        <w:t>CE</w:t>
      </w:r>
      <w:r w:rsidRPr="00C87891">
        <w:t xml:space="preserve"> publication. The data from the </w:t>
      </w:r>
      <w:r w:rsidR="00E249D9" w:rsidRPr="00C87891">
        <w:t>Accounting Point</w:t>
      </w:r>
      <w:r w:rsidRPr="00C87891">
        <w:t xml:space="preserve"> must be used by all </w:t>
      </w:r>
      <w:r w:rsidR="00D92FE4" w:rsidRPr="00C87891">
        <w:t xml:space="preserve">SA </w:t>
      </w:r>
      <w:r w:rsidR="00FF4F87" w:rsidRPr="00C87891">
        <w:t>CE</w:t>
      </w:r>
      <w:r w:rsidRPr="00C87891">
        <w:t xml:space="preserve"> bodies involved as unique representation of the physical ene</w:t>
      </w:r>
      <w:r w:rsidR="00A74A8E" w:rsidRPr="00C87891">
        <w:t xml:space="preserve">rgy exchange concerning the </w:t>
      </w:r>
      <w:r w:rsidR="00E249D9" w:rsidRPr="00C87891">
        <w:t>Tie-Line</w:t>
      </w:r>
      <w:r w:rsidRPr="00C87891">
        <w:t>.</w:t>
      </w:r>
    </w:p>
    <w:p w14:paraId="61B67930" w14:textId="77777777" w:rsidR="00723C31" w:rsidRPr="001A7945" w:rsidRDefault="00723C31" w:rsidP="00AB68C8">
      <w:pPr>
        <w:pStyle w:val="Heading3"/>
      </w:pPr>
      <w:bookmarkStart w:id="75" w:name="_Ref199650373"/>
      <w:bookmarkStart w:id="76" w:name="_Toc107495730"/>
      <w:r w:rsidRPr="001A7945">
        <w:t>Data format</w:t>
      </w:r>
      <w:bookmarkEnd w:id="75"/>
      <w:bookmarkEnd w:id="76"/>
      <w:r w:rsidRPr="001A7945">
        <w:t xml:space="preserve"> </w:t>
      </w:r>
    </w:p>
    <w:p w14:paraId="30541961" w14:textId="77777777" w:rsidR="00CD609B" w:rsidRPr="00C87891" w:rsidRDefault="003D36C8" w:rsidP="00723C31">
      <w:r>
        <w:t>The SAFA parties</w:t>
      </w:r>
      <w:r w:rsidR="00723C31" w:rsidRPr="00C87891">
        <w:t xml:space="preserve"> have to use the data exchange format for metering, accounting </w:t>
      </w:r>
      <w:r w:rsidR="00D73F9C" w:rsidRPr="00C87891">
        <w:t>and settlement</w:t>
      </w:r>
      <w:r w:rsidR="00CD609B" w:rsidRPr="00C87891">
        <w:t>:</w:t>
      </w:r>
    </w:p>
    <w:p w14:paraId="255E6A25" w14:textId="77777777" w:rsidR="00CD609B" w:rsidRPr="00C87891" w:rsidRDefault="00CD609B" w:rsidP="00E25898">
      <w:pPr>
        <w:pStyle w:val="ListParagraph"/>
        <w:numPr>
          <w:ilvl w:val="0"/>
          <w:numId w:val="45"/>
        </w:numPr>
      </w:pPr>
      <w:r w:rsidRPr="00C87891">
        <w:t>SOMA: System Operator Meter Alignment</w:t>
      </w:r>
    </w:p>
    <w:p w14:paraId="321AC0FE" w14:textId="77777777" w:rsidR="00CD609B" w:rsidRPr="00C87891" w:rsidRDefault="00CD609B" w:rsidP="00E25898">
      <w:pPr>
        <w:pStyle w:val="ListParagraph"/>
        <w:numPr>
          <w:ilvl w:val="0"/>
          <w:numId w:val="45"/>
        </w:numPr>
      </w:pPr>
      <w:r w:rsidRPr="00C87891">
        <w:t>SOVM: System Operator Validated Measurements</w:t>
      </w:r>
    </w:p>
    <w:p w14:paraId="476AA8EA" w14:textId="77777777" w:rsidR="00CD609B" w:rsidRPr="00C87891" w:rsidRDefault="00CD609B" w:rsidP="00E25898">
      <w:pPr>
        <w:pStyle w:val="ListParagraph"/>
        <w:numPr>
          <w:ilvl w:val="0"/>
          <w:numId w:val="45"/>
        </w:numPr>
      </w:pPr>
      <w:r w:rsidRPr="00C87891">
        <w:t xml:space="preserve">SOAM: System Operator Accounting </w:t>
      </w:r>
      <w:r w:rsidR="00AD5F99" w:rsidRPr="00C87891">
        <w:t>Data</w:t>
      </w:r>
      <w:r w:rsidRPr="00C87891">
        <w:t xml:space="preserve"> Matching</w:t>
      </w:r>
    </w:p>
    <w:p w14:paraId="61DEEE46" w14:textId="5664869B" w:rsidR="00CD609B" w:rsidRPr="00C87891" w:rsidRDefault="00CD609B" w:rsidP="00E25898">
      <w:pPr>
        <w:pStyle w:val="ListParagraph"/>
        <w:numPr>
          <w:ilvl w:val="0"/>
          <w:numId w:val="45"/>
        </w:numPr>
      </w:pPr>
      <w:r w:rsidRPr="00C87891">
        <w:t xml:space="preserve">SOVA: System </w:t>
      </w:r>
      <w:r w:rsidR="001A6B98">
        <w:t>O</w:t>
      </w:r>
      <w:r w:rsidRPr="00C87891">
        <w:t>perator Validated Accounting data</w:t>
      </w:r>
    </w:p>
    <w:p w14:paraId="7C008E12" w14:textId="698CC9B7" w:rsidR="005F4842" w:rsidRDefault="005F4842" w:rsidP="005F4842">
      <w:pPr>
        <w:pStyle w:val="ListParagraph"/>
        <w:numPr>
          <w:ilvl w:val="0"/>
          <w:numId w:val="45"/>
        </w:numPr>
      </w:pPr>
      <w:r>
        <w:t xml:space="preserve">DSR: Daily Settlement Report </w:t>
      </w:r>
    </w:p>
    <w:p w14:paraId="5D15E664" w14:textId="5923506A" w:rsidR="005F4842" w:rsidRDefault="005F4842" w:rsidP="005F4842">
      <w:pPr>
        <w:pStyle w:val="ListParagraph"/>
        <w:numPr>
          <w:ilvl w:val="0"/>
          <w:numId w:val="45"/>
        </w:numPr>
      </w:pPr>
      <w:r>
        <w:t xml:space="preserve">DSPR: Daily Settlement Prices Report </w:t>
      </w:r>
    </w:p>
    <w:p w14:paraId="1FD3E6FD" w14:textId="3215ACD6" w:rsidR="005F4842" w:rsidRDefault="005F4842" w:rsidP="001A7945">
      <w:pPr>
        <w:pStyle w:val="ListParagraph"/>
        <w:numPr>
          <w:ilvl w:val="0"/>
          <w:numId w:val="45"/>
        </w:numPr>
      </w:pPr>
      <w:r>
        <w:t>MSR:</w:t>
      </w:r>
      <w:r w:rsidRPr="005F4842">
        <w:t xml:space="preserve"> </w:t>
      </w:r>
      <w:r>
        <w:t xml:space="preserve">Monthly Settlement Report </w:t>
      </w:r>
    </w:p>
    <w:p w14:paraId="0F521A6F" w14:textId="0494499D" w:rsidR="001A7945" w:rsidRDefault="001A7945" w:rsidP="001A7945">
      <w:pPr>
        <w:pStyle w:val="ListParagraph"/>
        <w:numPr>
          <w:ilvl w:val="0"/>
          <w:numId w:val="45"/>
        </w:numPr>
      </w:pPr>
      <w:r>
        <w:t>K-</w:t>
      </w:r>
      <w:r w:rsidR="007F79FA">
        <w:t>f</w:t>
      </w:r>
      <w:r>
        <w:t>actors</w:t>
      </w:r>
    </w:p>
    <w:p w14:paraId="369B8ED2" w14:textId="10A63857" w:rsidR="001A7945" w:rsidRDefault="001A7945" w:rsidP="001A7945">
      <w:pPr>
        <w:pStyle w:val="ListParagraph"/>
        <w:numPr>
          <w:ilvl w:val="0"/>
          <w:numId w:val="45"/>
        </w:numPr>
      </w:pPr>
      <w:r>
        <w:t>DAMP</w:t>
      </w:r>
    </w:p>
    <w:p w14:paraId="78B6C764" w14:textId="651B3620" w:rsidR="005F4842" w:rsidRDefault="001A7945" w:rsidP="00632FF6">
      <w:pPr>
        <w:pStyle w:val="ListParagraph"/>
        <w:numPr>
          <w:ilvl w:val="0"/>
          <w:numId w:val="45"/>
        </w:numPr>
      </w:pPr>
      <w:r>
        <w:t>Frequency Deviation</w:t>
      </w:r>
    </w:p>
    <w:p w14:paraId="465A8F6D" w14:textId="5E45AD73" w:rsidR="00723C31" w:rsidRPr="00C87891" w:rsidRDefault="00723C31" w:rsidP="00723C31">
      <w:r w:rsidRPr="00C87891">
        <w:t xml:space="preserve">according to the </w:t>
      </w:r>
      <w:r w:rsidR="009E1B5F">
        <w:t xml:space="preserve">bilateral agreement and the </w:t>
      </w:r>
      <w:r w:rsidR="005F44A5">
        <w:t>ACCOUNTING AND FINANCIAL SETTLEMENT OF KF, ACE AND RAMPING PERIOD (FSKAR) IMPLEMENTATION GUIDE</w:t>
      </w:r>
      <w:r w:rsidR="00E03CAA">
        <w:t>.</w:t>
      </w:r>
    </w:p>
    <w:p w14:paraId="1B3D128E" w14:textId="77777777" w:rsidR="00723C31" w:rsidRPr="00C87891" w:rsidRDefault="00723C31" w:rsidP="00AB68C8">
      <w:pPr>
        <w:pStyle w:val="Heading3"/>
        <w:rPr>
          <w:rFonts w:ascii="Arial" w:hAnsi="Arial" w:cs="Arial"/>
        </w:rPr>
      </w:pPr>
      <w:bookmarkStart w:id="77" w:name="_Toc107495731"/>
      <w:r w:rsidRPr="00C87891">
        <w:t>Trouble shooting</w:t>
      </w:r>
      <w:bookmarkEnd w:id="77"/>
    </w:p>
    <w:p w14:paraId="10FD8FC8" w14:textId="2CF7F8C0" w:rsidR="00723C31" w:rsidRPr="00C87891" w:rsidRDefault="00723C31" w:rsidP="00A74A8E">
      <w:r w:rsidRPr="00C87891">
        <w:t xml:space="preserve">In order to be prepared in case of problems, TSOs have to agree </w:t>
      </w:r>
      <w:r w:rsidR="00082AC3">
        <w:t xml:space="preserve">bilaterally </w:t>
      </w:r>
      <w:r w:rsidRPr="00C87891">
        <w:t>on the rules how to deal in case of trouble shooting (m</w:t>
      </w:r>
      <w:r w:rsidR="004D6757" w:rsidRPr="00C87891">
        <w:t xml:space="preserve">issing meter measurement data, </w:t>
      </w:r>
      <w:r w:rsidRPr="00C87891">
        <w:t xml:space="preserve">inconsistent data, </w:t>
      </w:r>
      <w:r w:rsidRPr="00C87891">
        <w:lastRenderedPageBreak/>
        <w:t>unavailable data, ...)</w:t>
      </w:r>
      <w:r w:rsidR="004D6757" w:rsidRPr="00C87891">
        <w:t xml:space="preserve"> </w:t>
      </w:r>
      <w:r w:rsidR="00AB68C8" w:rsidRPr="00C87891">
        <w:rPr>
          <w:rFonts w:ascii="Arial" w:hAnsi="Arial" w:cs="Arial"/>
        </w:rPr>
        <w:t xml:space="preserve">In this case TSOs have to agree </w:t>
      </w:r>
      <w:r w:rsidR="00082AC3">
        <w:rPr>
          <w:rFonts w:ascii="Arial" w:hAnsi="Arial" w:cs="Arial"/>
        </w:rPr>
        <w:t xml:space="preserve">bilaterally </w:t>
      </w:r>
      <w:r w:rsidR="00AB68C8" w:rsidRPr="00C87891">
        <w:rPr>
          <w:rFonts w:ascii="Arial" w:hAnsi="Arial" w:cs="Arial"/>
        </w:rPr>
        <w:t>on a substitute value for every time unit in question</w:t>
      </w:r>
      <w:r w:rsidR="00673708" w:rsidRPr="00C87891">
        <w:rPr>
          <w:rFonts w:ascii="Arial" w:hAnsi="Arial" w:cs="Arial"/>
        </w:rPr>
        <w:t xml:space="preserve"> </w:t>
      </w:r>
      <w:r w:rsidR="00673708" w:rsidRPr="00C87891">
        <w:t xml:space="preserve">and inform their related </w:t>
      </w:r>
      <w:r w:rsidR="002E2691">
        <w:t>Coordination</w:t>
      </w:r>
      <w:r w:rsidR="008D666C">
        <w:t xml:space="preserve"> Centre</w:t>
      </w:r>
      <w:r w:rsidR="00E249D9" w:rsidRPr="00C87891">
        <w:t>s</w:t>
      </w:r>
      <w:r w:rsidR="00673708" w:rsidRPr="00C87891">
        <w:t xml:space="preserve"> </w:t>
      </w:r>
      <w:r w:rsidR="007E50A6">
        <w:t xml:space="preserve">or/and LFC Block </w:t>
      </w:r>
      <w:r w:rsidR="00673708" w:rsidRPr="00C87891">
        <w:t>immediately</w:t>
      </w:r>
      <w:r w:rsidR="00AB68C8" w:rsidRPr="00C87891">
        <w:t xml:space="preserve"> </w:t>
      </w:r>
      <w:r w:rsidR="004D6757" w:rsidRPr="00C87891">
        <w:t>(se</w:t>
      </w:r>
      <w:r w:rsidR="00A74A8E" w:rsidRPr="00C87891">
        <w:t>e</w:t>
      </w:r>
      <w:r w:rsidR="004D6757" w:rsidRPr="00C87891">
        <w:t xml:space="preserve"> </w:t>
      </w:r>
      <w:r w:rsidR="004D6757" w:rsidRPr="00C87891">
        <w:fldChar w:fldCharType="begin"/>
      </w:r>
      <w:r w:rsidR="004D6757" w:rsidRPr="00C87891">
        <w:instrText xml:space="preserve"> REF _Ref196725668 \r \h </w:instrText>
      </w:r>
      <w:r w:rsidR="00C87891">
        <w:instrText xml:space="preserve"> \* MERGEFORMAT </w:instrText>
      </w:r>
      <w:r w:rsidR="004D6757" w:rsidRPr="00C87891">
        <w:fldChar w:fldCharType="separate"/>
      </w:r>
      <w:r w:rsidR="00D26D46">
        <w:t>C-7-1</w:t>
      </w:r>
      <w:r w:rsidR="004D6757" w:rsidRPr="00C87891">
        <w:fldChar w:fldCharType="end"/>
      </w:r>
      <w:r w:rsidR="004D6757" w:rsidRPr="00C87891">
        <w:t>)</w:t>
      </w:r>
      <w:r w:rsidR="00A74A8E" w:rsidRPr="00C87891">
        <w:t xml:space="preserve">. </w:t>
      </w:r>
      <w:r w:rsidR="00082AC3">
        <w:t xml:space="preserve">Substitute values are to be submitted within the deadlines defined for submission of Accounting Data (see </w:t>
      </w:r>
      <w:r w:rsidR="00082AC3">
        <w:fldChar w:fldCharType="begin"/>
      </w:r>
      <w:r w:rsidR="00082AC3">
        <w:instrText xml:space="preserve"> REF _Ref62107543 \r \h </w:instrText>
      </w:r>
      <w:r w:rsidR="00082AC3">
        <w:fldChar w:fldCharType="separate"/>
      </w:r>
      <w:r w:rsidR="00D26D46">
        <w:t>C-12-2</w:t>
      </w:r>
      <w:r w:rsidR="00082AC3">
        <w:fldChar w:fldCharType="end"/>
      </w:r>
      <w:r w:rsidR="00082AC3">
        <w:t>)</w:t>
      </w:r>
    </w:p>
    <w:p w14:paraId="6A8195FD" w14:textId="611C6740" w:rsidR="00723C31" w:rsidRPr="00C87891" w:rsidRDefault="00723C31" w:rsidP="00AB68C8">
      <w:pPr>
        <w:pStyle w:val="Heading3"/>
      </w:pPr>
      <w:bookmarkStart w:id="78" w:name="_Toc107495732"/>
      <w:r w:rsidRPr="00C87891">
        <w:t>Resolution</w:t>
      </w:r>
      <w:bookmarkEnd w:id="78"/>
      <w:r w:rsidRPr="00C87891">
        <w:t xml:space="preserve"> </w:t>
      </w:r>
    </w:p>
    <w:p w14:paraId="0863FCCE" w14:textId="3A083FB8" w:rsidR="00723C31" w:rsidRPr="00C87891" w:rsidRDefault="00723C31" w:rsidP="00723C31">
      <w:r w:rsidRPr="00C87891">
        <w:t xml:space="preserve">TSOs </w:t>
      </w:r>
      <w:r w:rsidR="00D11486">
        <w:t>must</w:t>
      </w:r>
      <w:r w:rsidRPr="00C87891">
        <w:t xml:space="preserve"> agree on the resolution for the validation of the energy exchange on their common border. The resolution for the exchange of meter measurement and </w:t>
      </w:r>
      <w:r w:rsidR="00E249D9" w:rsidRPr="00C87891">
        <w:t>Accounting Data</w:t>
      </w:r>
      <w:r w:rsidRPr="00C87891">
        <w:t xml:space="preserve"> is </w:t>
      </w:r>
      <w:r w:rsidR="00265E09">
        <w:t xml:space="preserve">by default </w:t>
      </w:r>
      <w:r w:rsidRPr="00C87891">
        <w:t>the integer value of MWh</w:t>
      </w:r>
      <w:r w:rsidR="00265E09">
        <w:t xml:space="preserve"> </w:t>
      </w:r>
      <w:r w:rsidR="007E77CC" w:rsidRPr="00C87891">
        <w:t>for the time frame ¼ h</w:t>
      </w:r>
      <w:r w:rsidR="00265E09">
        <w:t>. I</w:t>
      </w:r>
      <w:r w:rsidRPr="00C87891">
        <w:t>f bilaterally agreed</w:t>
      </w:r>
      <w:r w:rsidR="007E77CC">
        <w:t xml:space="preserve"> Accounting Data can also be in </w:t>
      </w:r>
      <w:r w:rsidRPr="00C87891">
        <w:t xml:space="preserve"> MWh with 3 decimal digits</w:t>
      </w:r>
      <w:r w:rsidR="00541F8A">
        <w:t>.</w:t>
      </w:r>
    </w:p>
    <w:p w14:paraId="7EE621E8" w14:textId="77777777" w:rsidR="00723C31" w:rsidRPr="00C87891" w:rsidRDefault="00723C31" w:rsidP="00AB68C8">
      <w:pPr>
        <w:pStyle w:val="Heading3"/>
      </w:pPr>
      <w:bookmarkStart w:id="79" w:name="_Toc107495733"/>
      <w:r w:rsidRPr="00C87891">
        <w:t>Consideration of line losses</w:t>
      </w:r>
      <w:bookmarkEnd w:id="79"/>
    </w:p>
    <w:p w14:paraId="5DAFAE86" w14:textId="367A3E66" w:rsidR="00736A9B" w:rsidRPr="00C87891" w:rsidRDefault="00723C31" w:rsidP="00A74A8E">
      <w:r w:rsidRPr="00C87891">
        <w:t>TSOs have to agree on t</w:t>
      </w:r>
      <w:r w:rsidR="00B73419" w:rsidRPr="00C87891">
        <w:t>he way to consider line losses.</w:t>
      </w:r>
      <w:r w:rsidRPr="00C87891">
        <w:t xml:space="preserve"> This can be done by </w:t>
      </w:r>
      <w:r w:rsidR="00265E09">
        <w:t>agreement defining the Accounting Point e.g. on the basis of the Accounting Data</w:t>
      </w:r>
      <w:r w:rsidR="00A74A8E" w:rsidRPr="00C87891">
        <w:t>.</w:t>
      </w:r>
    </w:p>
    <w:p w14:paraId="37C74497" w14:textId="77777777" w:rsidR="00A74A8E" w:rsidRPr="00C87891" w:rsidRDefault="00A74A8E">
      <w:pPr>
        <w:jc w:val="left"/>
      </w:pPr>
      <w:r w:rsidRPr="00C87891">
        <w:br w:type="page"/>
      </w:r>
    </w:p>
    <w:p w14:paraId="729F1CA2" w14:textId="68FD8D51" w:rsidR="00723C31" w:rsidRDefault="00723C31" w:rsidP="00443483">
      <w:pPr>
        <w:pStyle w:val="Heading2"/>
      </w:pPr>
      <w:bookmarkStart w:id="80" w:name="_Toc107495734"/>
      <w:r w:rsidRPr="00C87891">
        <w:lastRenderedPageBreak/>
        <w:t xml:space="preserve">Standards - </w:t>
      </w:r>
      <w:r w:rsidR="00443483" w:rsidRPr="00C87891">
        <w:t>Accounting process</w:t>
      </w:r>
      <w:bookmarkEnd w:id="80"/>
    </w:p>
    <w:p w14:paraId="5D1A7381" w14:textId="07B9B01F" w:rsidR="005F44A5" w:rsidRDefault="005F44A5" w:rsidP="005F44A5">
      <w:pPr>
        <w:pStyle w:val="Heading3"/>
        <w:numPr>
          <w:ilvl w:val="2"/>
          <w:numId w:val="10"/>
        </w:numPr>
      </w:pPr>
      <w:bookmarkStart w:id="81" w:name="_Toc107495735"/>
      <w:r>
        <w:t>O</w:t>
      </w:r>
      <w:r w:rsidR="00405246">
        <w:t>verview</w:t>
      </w:r>
      <w:bookmarkEnd w:id="81"/>
    </w:p>
    <w:p w14:paraId="770F1C0C" w14:textId="3B6DF912" w:rsidR="00405246" w:rsidRDefault="00405246" w:rsidP="005F44A5">
      <w:r>
        <w:t xml:space="preserve">In the framework of the Accounting Process, </w:t>
      </w:r>
      <w:r w:rsidR="002E2691">
        <w:t>Coordination</w:t>
      </w:r>
      <w:r w:rsidR="008D666C">
        <w:t xml:space="preserve"> Centre</w:t>
      </w:r>
      <w:r>
        <w:t xml:space="preserve">s </w:t>
      </w:r>
      <w:r w:rsidR="002D5DA3">
        <w:t xml:space="preserve">(CCs) </w:t>
      </w:r>
      <w:r>
        <w:t>calculate:</w:t>
      </w:r>
    </w:p>
    <w:p w14:paraId="1BC23F08" w14:textId="47C58871" w:rsidR="004031EC" w:rsidRDefault="004031EC" w:rsidP="00632FF6">
      <w:pPr>
        <w:pStyle w:val="ListParagraph"/>
        <w:numPr>
          <w:ilvl w:val="0"/>
          <w:numId w:val="44"/>
        </w:numPr>
      </w:pPr>
      <w:r>
        <w:t>The volumes of FCP energy and RP energy for each TSO-TSO settlement period. The inputs needed for these calculations shall be:</w:t>
      </w:r>
    </w:p>
    <w:p w14:paraId="05F8E1BD" w14:textId="02386662" w:rsidR="004031EC" w:rsidRDefault="004031EC" w:rsidP="004031EC">
      <w:pPr>
        <w:pStyle w:val="ListParagraph"/>
        <w:numPr>
          <w:ilvl w:val="1"/>
          <w:numId w:val="60"/>
        </w:numPr>
      </w:pPr>
      <w:r>
        <w:t>The K-factor per LFC area or LFC block;</w:t>
      </w:r>
    </w:p>
    <w:p w14:paraId="37F8BC3E" w14:textId="77777777" w:rsidR="004031EC" w:rsidRDefault="004031EC" w:rsidP="004031EC">
      <w:pPr>
        <w:pStyle w:val="ListParagraph"/>
        <w:numPr>
          <w:ilvl w:val="1"/>
          <w:numId w:val="60"/>
        </w:numPr>
      </w:pPr>
      <w:r>
        <w:t>The average of the frequency deviation over each TSO-TSO settlement period;</w:t>
      </w:r>
    </w:p>
    <w:p w14:paraId="5C5A7349" w14:textId="77777777" w:rsidR="004031EC" w:rsidRDefault="004031EC" w:rsidP="004031EC">
      <w:pPr>
        <w:pStyle w:val="ListParagraph"/>
        <w:numPr>
          <w:ilvl w:val="1"/>
          <w:numId w:val="60"/>
        </w:numPr>
      </w:pPr>
      <w:r>
        <w:t xml:space="preserve">The aggregated external schedules (ANES)   </w:t>
      </w:r>
    </w:p>
    <w:p w14:paraId="502EB5FB" w14:textId="3DE288FC" w:rsidR="005F44A5" w:rsidRDefault="005F44A5" w:rsidP="00632FF6">
      <w:pPr>
        <w:pStyle w:val="ListParagraph"/>
        <w:numPr>
          <w:ilvl w:val="0"/>
          <w:numId w:val="44"/>
        </w:numPr>
      </w:pPr>
      <w:r>
        <w:t xml:space="preserve">The </w:t>
      </w:r>
      <w:r w:rsidR="00405246">
        <w:t>volumes of UE energy</w:t>
      </w:r>
      <w:r>
        <w:t xml:space="preserve"> for each TSO-TSO settlement period.</w:t>
      </w:r>
      <w:r w:rsidR="00F6212C">
        <w:t xml:space="preserve"> </w:t>
      </w:r>
      <w:r>
        <w:t>The inputs needed for these calculations shall be:</w:t>
      </w:r>
    </w:p>
    <w:p w14:paraId="2B083B8C" w14:textId="0CB176C2" w:rsidR="005F44A5" w:rsidRDefault="005F44A5" w:rsidP="005F44A5">
      <w:pPr>
        <w:pStyle w:val="ListParagraph"/>
        <w:numPr>
          <w:ilvl w:val="1"/>
          <w:numId w:val="59"/>
        </w:numPr>
      </w:pPr>
      <w:r>
        <w:t xml:space="preserve">The </w:t>
      </w:r>
      <w:r w:rsidR="007E77CC">
        <w:t>A</w:t>
      </w:r>
      <w:r>
        <w:t xml:space="preserve">ccounting </w:t>
      </w:r>
      <w:r w:rsidR="007E77CC">
        <w:t>D</w:t>
      </w:r>
      <w:r>
        <w:t xml:space="preserve">ata per TSO-TSO settlement period and per LFC area </w:t>
      </w:r>
      <w:r w:rsidR="00CB1BA6">
        <w:t xml:space="preserve">or LFC Block </w:t>
      </w:r>
      <w:r>
        <w:t>of SA CE, including exchanges of energy accounted through a virtual tie-line;</w:t>
      </w:r>
    </w:p>
    <w:p w14:paraId="75E129C5" w14:textId="77777777" w:rsidR="005F44A5" w:rsidRDefault="005F44A5" w:rsidP="005F44A5">
      <w:pPr>
        <w:pStyle w:val="ListParagraph"/>
        <w:numPr>
          <w:ilvl w:val="1"/>
          <w:numId w:val="59"/>
        </w:numPr>
      </w:pPr>
      <w:r>
        <w:t xml:space="preserve">All aggregated netted external schedules (ANES); </w:t>
      </w:r>
    </w:p>
    <w:p w14:paraId="74557C20" w14:textId="40A0968D" w:rsidR="005F44A5" w:rsidRPr="005F44A5" w:rsidRDefault="005F44A5" w:rsidP="00632FF6">
      <w:pPr>
        <w:pStyle w:val="ListParagraph"/>
        <w:numPr>
          <w:ilvl w:val="1"/>
          <w:numId w:val="59"/>
        </w:numPr>
      </w:pPr>
      <w:r>
        <w:t xml:space="preserve">The volumes of </w:t>
      </w:r>
      <w:r w:rsidR="00CB1BA6">
        <w:t>FCP Energy and UE Energy</w:t>
      </w:r>
    </w:p>
    <w:p w14:paraId="00C5C1ED" w14:textId="3290F37E" w:rsidR="00CB1BA6" w:rsidRPr="00C87891" w:rsidRDefault="00CB1BA6" w:rsidP="00632FF6">
      <w:pPr>
        <w:pStyle w:val="Heading3"/>
      </w:pPr>
      <w:bookmarkStart w:id="82" w:name="_Ref57884817"/>
      <w:bookmarkStart w:id="83" w:name="_Ref199583818"/>
      <w:bookmarkStart w:id="84" w:name="_Ref512261489"/>
      <w:bookmarkStart w:id="85" w:name="_Toc107495736"/>
      <w:r w:rsidRPr="000755B5">
        <w:t>Accounting</w:t>
      </w:r>
      <w:r>
        <w:t xml:space="preserve"> </w:t>
      </w:r>
      <w:r w:rsidRPr="00C87891">
        <w:t>data exchange between TSOs in the SA CE</w:t>
      </w:r>
      <w:bookmarkStart w:id="86" w:name="_Ref512261303"/>
      <w:bookmarkEnd w:id="82"/>
      <w:bookmarkEnd w:id="85"/>
    </w:p>
    <w:p w14:paraId="3DAD46F0" w14:textId="77777777" w:rsidR="00CB1BA6" w:rsidRPr="00C87891" w:rsidRDefault="00CB1BA6" w:rsidP="00CB1BA6">
      <w:pPr>
        <w:jc w:val="center"/>
      </w:pPr>
      <w:r w:rsidRPr="00ED746F">
        <w:rPr>
          <w:noProof/>
          <w:lang w:val="de-DE" w:eastAsia="de-DE"/>
        </w:rPr>
        <w:drawing>
          <wp:inline distT="0" distB="0" distL="0" distR="0" wp14:anchorId="001ED319" wp14:editId="39952326">
            <wp:extent cx="4511675" cy="462407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1675" cy="4624070"/>
                    </a:xfrm>
                    <a:prstGeom prst="rect">
                      <a:avLst/>
                    </a:prstGeom>
                    <a:noFill/>
                    <a:ln>
                      <a:noFill/>
                    </a:ln>
                  </pic:spPr>
                </pic:pic>
              </a:graphicData>
            </a:graphic>
          </wp:inline>
        </w:drawing>
      </w:r>
    </w:p>
    <w:p w14:paraId="3B87349D" w14:textId="79A45A7C" w:rsidR="00CB1BA6" w:rsidRPr="00C87891" w:rsidRDefault="00CB1BA6" w:rsidP="00CB1BA6">
      <w:pPr>
        <w:pStyle w:val="Caption"/>
      </w:pPr>
      <w:bookmarkStart w:id="87" w:name="_Ref515019393"/>
      <w:r w:rsidRPr="00C87891">
        <w:t xml:space="preserve">Figure </w:t>
      </w:r>
      <w:r w:rsidRPr="00C87891">
        <w:fldChar w:fldCharType="begin"/>
      </w:r>
      <w:r w:rsidRPr="00C87891">
        <w:instrText xml:space="preserve"> SEQ Figure \* ARABIC </w:instrText>
      </w:r>
      <w:r w:rsidRPr="00C87891">
        <w:fldChar w:fldCharType="separate"/>
      </w:r>
      <w:r w:rsidR="00D26D46">
        <w:rPr>
          <w:noProof/>
        </w:rPr>
        <w:t>3</w:t>
      </w:r>
      <w:r w:rsidRPr="00C87891">
        <w:fldChar w:fldCharType="end"/>
      </w:r>
      <w:bookmarkEnd w:id="86"/>
      <w:bookmarkEnd w:id="87"/>
      <w:r w:rsidRPr="00C87891">
        <w:t>: Overview of the Data Exchange Process between TSOs</w:t>
      </w:r>
    </w:p>
    <w:p w14:paraId="4CFA3EA8" w14:textId="77777777" w:rsidR="00CB1BA6" w:rsidRPr="00C87891" w:rsidRDefault="00CB1BA6" w:rsidP="00CB1BA6">
      <w:pPr>
        <w:rPr>
          <w:rStyle w:val="Strong"/>
        </w:rPr>
      </w:pPr>
      <w:r w:rsidRPr="00C87891">
        <w:rPr>
          <w:rStyle w:val="Strong"/>
        </w:rPr>
        <w:t>Principles of meter measurement data exchange</w:t>
      </w:r>
    </w:p>
    <w:p w14:paraId="374281C8" w14:textId="63C830A6" w:rsidR="00CB1BA6" w:rsidRPr="00C87891" w:rsidRDefault="00CB1BA6" w:rsidP="00CB1BA6">
      <w:r w:rsidRPr="00C87891">
        <w:lastRenderedPageBreak/>
        <w:t xml:space="preserve">Each </w:t>
      </w:r>
      <w:smartTag w:uri="urn:schemas-microsoft-com:office:smarttags" w:element="stockticker">
        <w:r w:rsidRPr="00C87891">
          <w:t>TSO</w:t>
        </w:r>
      </w:smartTag>
      <w:r w:rsidRPr="00C87891">
        <w:t xml:space="preserve"> assembles and sends his meter measurement data document “System Operator Meter Alignment” (SOMA) to his adjacent </w:t>
      </w:r>
      <w:smartTag w:uri="urn:schemas-microsoft-com:office:smarttags" w:element="stockticker">
        <w:r w:rsidRPr="00C87891">
          <w:t>TSO</w:t>
        </w:r>
      </w:smartTag>
      <w:r w:rsidRPr="00C87891">
        <w:t xml:space="preserve"> (see </w:t>
      </w:r>
      <w:r w:rsidRPr="00C87891">
        <w:fldChar w:fldCharType="begin"/>
      </w:r>
      <w:r w:rsidRPr="00C87891">
        <w:instrText xml:space="preserve"> REF _Ref219864094 \r \h  \* MERGEFORMAT </w:instrText>
      </w:r>
      <w:r w:rsidRPr="00C87891">
        <w:fldChar w:fldCharType="separate"/>
      </w:r>
      <w:r w:rsidR="00D26D46">
        <w:t>C-4-1</w:t>
      </w:r>
      <w:r w:rsidRPr="00C87891">
        <w:fldChar w:fldCharType="end"/>
      </w:r>
      <w:r>
        <w:t xml:space="preserve">, C-1-7 </w:t>
      </w:r>
      <w:r w:rsidRPr="00C87891">
        <w:t xml:space="preserve">and </w:t>
      </w:r>
      <w:r w:rsidRPr="00C87891">
        <w:fldChar w:fldCharType="begin"/>
      </w:r>
      <w:r w:rsidRPr="00C87891">
        <w:instrText xml:space="preserve"> REF _Ref515019393 \h </w:instrText>
      </w:r>
      <w:r>
        <w:instrText xml:space="preserve"> \* MERGEFORMAT </w:instrText>
      </w:r>
      <w:r w:rsidRPr="00C87891">
        <w:fldChar w:fldCharType="separate"/>
      </w:r>
      <w:r w:rsidR="00D26D46" w:rsidRPr="00C87891">
        <w:t xml:space="preserve">Figure </w:t>
      </w:r>
      <w:r w:rsidR="00D26D46">
        <w:rPr>
          <w:noProof/>
        </w:rPr>
        <w:t>3</w:t>
      </w:r>
      <w:r w:rsidRPr="00C87891">
        <w:fldChar w:fldCharType="end"/>
      </w:r>
      <w:r w:rsidRPr="00C87891">
        <w:t xml:space="preserve">). Every </w:t>
      </w:r>
      <w:smartTag w:uri="urn:schemas-microsoft-com:office:smarttags" w:element="stockticker">
        <w:r w:rsidRPr="00C87891">
          <w:t>TSO</w:t>
        </w:r>
      </w:smartTag>
      <w:r w:rsidRPr="00C87891">
        <w:t xml:space="preserve"> validates the contents of the SOMA document. The </w:t>
      </w:r>
      <w:smartTag w:uri="urn:schemas-microsoft-com:office:smarttags" w:element="stockticker">
        <w:r w:rsidRPr="00C87891">
          <w:t>TSOs</w:t>
        </w:r>
      </w:smartTag>
      <w:r w:rsidRPr="00C87891">
        <w:t xml:space="preserve"> inform each other about the result of validation. </w:t>
      </w:r>
    </w:p>
    <w:p w14:paraId="0D79ABD4" w14:textId="77777777" w:rsidR="00CB1BA6" w:rsidRPr="00C87891" w:rsidRDefault="00CB1BA6" w:rsidP="00CB1BA6">
      <w:r w:rsidRPr="00C87891">
        <w:t>In case of successful validation, the meter measurement data document</w:t>
      </w:r>
      <w:r>
        <w:t xml:space="preserve"> </w:t>
      </w:r>
      <w:r w:rsidRPr="00C87891">
        <w:t>“System Operator Validated Measurements” (SOVM) is assembled and sent to the accounting data system of the TSO in order to calculate the accounting data (e.g. consideration of losses).</w:t>
      </w:r>
    </w:p>
    <w:p w14:paraId="0FC19326" w14:textId="77777777" w:rsidR="00CB1BA6" w:rsidRPr="00C87891" w:rsidRDefault="00CB1BA6" w:rsidP="00CB1BA6">
      <w:pPr>
        <w:rPr>
          <w:rStyle w:val="Strong"/>
        </w:rPr>
      </w:pPr>
      <w:r w:rsidRPr="00C87891">
        <w:rPr>
          <w:rStyle w:val="Strong"/>
        </w:rPr>
        <w:t>Principles of accounting data exchange between TSO</w:t>
      </w:r>
    </w:p>
    <w:p w14:paraId="1036D5F3" w14:textId="0A86DF7D" w:rsidR="00CB1BA6" w:rsidRPr="00C87891" w:rsidRDefault="00CB1BA6" w:rsidP="00CB1BA6">
      <w:r>
        <w:t xml:space="preserve">The calculated Accounting Data is assembled into a document “System Operator Accounting Data Matching” (SOAM) and must be exchanged between involved TSOs. One TSO sends the values that have been calculated and that will serve as the accounting point data. If the receiving TSO agrees to the values, then a positive acknowledgement is sent. If, however, the receiving TSO does not agree, then a negative acknowledgement is sent. Both TSOs send the SOAM after successful matching (SOVA) to the related </w:t>
      </w:r>
      <w:r w:rsidR="002E2691">
        <w:t>Coordination</w:t>
      </w:r>
      <w:r w:rsidR="008D666C">
        <w:t xml:space="preserve"> Centre</w:t>
      </w:r>
      <w:r>
        <w:t xml:space="preserve">s. If Accounting Data is based on substitute meter measurement data, the two involved TSO have time to adjust the data during the Accounting Process. If data is not adjusted by the TSO and </w:t>
      </w:r>
      <w:r w:rsidR="006638C2">
        <w:t>data received in SOVA</w:t>
      </w:r>
      <w:r>
        <w:t xml:space="preserve"> match</w:t>
      </w:r>
      <w:r w:rsidR="006638C2">
        <w:t>es</w:t>
      </w:r>
      <w:r>
        <w:t>, this data is considered as final on the dedicated SA CE border. If data do</w:t>
      </w:r>
      <w:r w:rsidR="006638C2">
        <w:t>es</w:t>
      </w:r>
      <w:r>
        <w:t xml:space="preserve"> not match, the accounting mismatch rules (see </w:t>
      </w:r>
      <w:r>
        <w:fldChar w:fldCharType="begin"/>
      </w:r>
      <w:r>
        <w:instrText xml:space="preserve"> REF _Ref196725668 \r \h  \* MERGEFORMAT </w:instrText>
      </w:r>
      <w:r>
        <w:fldChar w:fldCharType="separate"/>
      </w:r>
      <w:r w:rsidR="00D26D46">
        <w:t>C-7-1</w:t>
      </w:r>
      <w:r>
        <w:fldChar w:fldCharType="end"/>
      </w:r>
      <w:r>
        <w:t xml:space="preserve">) will be applied by the dedicated SA CE level (see </w:t>
      </w:r>
      <w:r>
        <w:fldChar w:fldCharType="begin"/>
      </w:r>
      <w:r>
        <w:instrText xml:space="preserve"> REF _Ref75847512 \h </w:instrText>
      </w:r>
      <w:r>
        <w:fldChar w:fldCharType="separate"/>
      </w:r>
      <w:r w:rsidR="00D26D46" w:rsidRPr="00C87891">
        <w:t xml:space="preserve">Table </w:t>
      </w:r>
      <w:r w:rsidR="00D26D46">
        <w:rPr>
          <w:noProof/>
        </w:rPr>
        <w:t>2</w:t>
      </w:r>
      <w:r>
        <w:fldChar w:fldCharType="end"/>
      </w:r>
      <w:r>
        <w:t xml:space="preserve">). </w:t>
      </w:r>
      <w:smartTag w:uri="urn:schemas-microsoft-com:office:smarttags" w:element="stockticker"/>
      <w:smartTag w:uri="urn:schemas-microsoft-com:office:smarttags" w:element="stockticker"/>
      <w:smartTag w:uri="urn:schemas-microsoft-com:office:smarttags" w:element="stockticker"/>
    </w:p>
    <w:p w14:paraId="22BA8726" w14:textId="77777777" w:rsidR="00CB1BA6" w:rsidRPr="00C87891" w:rsidRDefault="00CB1BA6" w:rsidP="00082AC3">
      <w:pPr>
        <w:pStyle w:val="Heading4"/>
      </w:pPr>
      <w:r w:rsidRPr="00C87891">
        <w:t xml:space="preserve">Metering requirements </w:t>
      </w:r>
    </w:p>
    <w:p w14:paraId="68DF754C" w14:textId="77777777" w:rsidR="00CB1BA6" w:rsidRDefault="00CB1BA6" w:rsidP="00CB1BA6">
      <w:pPr>
        <w:rPr>
          <w:rStyle w:val="Strong"/>
        </w:rPr>
      </w:pPr>
      <w:r>
        <w:rPr>
          <w:rStyle w:val="Strong"/>
          <w:b w:val="0"/>
          <w:bCs w:val="0"/>
        </w:rPr>
        <w:t xml:space="preserve">The following metering requirements must be fulfilled by the metering devices on both ends of the Tie-Line by both connecting TSOs. </w:t>
      </w:r>
    </w:p>
    <w:p w14:paraId="5FA3E329" w14:textId="77777777" w:rsidR="00CB1BA6" w:rsidRPr="00C87891" w:rsidRDefault="00CB1BA6" w:rsidP="00CB1BA6">
      <w:pPr>
        <w:rPr>
          <w:rStyle w:val="Strong"/>
        </w:rPr>
      </w:pPr>
      <w:r w:rsidRPr="00C87891">
        <w:rPr>
          <w:rStyle w:val="Strong"/>
        </w:rPr>
        <w:t>Voltage and current transformer</w:t>
      </w:r>
    </w:p>
    <w:p w14:paraId="2D4E9415" w14:textId="77777777" w:rsidR="00CB1BA6" w:rsidRPr="00C87891" w:rsidRDefault="00CB1BA6" w:rsidP="00CB1BA6">
      <w:r w:rsidRPr="00C87891">
        <w:t>Voltage and current transformers have to be operated at each metering point which data is used as source for the determination of an Accounting Point. Voltage and current transformers at the Accounting Points must have an accuracy class rating of 0.2. Current transformers must have 2 cores for measurement purposes.</w:t>
      </w:r>
    </w:p>
    <w:p w14:paraId="3A93AA98" w14:textId="77777777" w:rsidR="00CB1BA6" w:rsidRPr="00C87891" w:rsidRDefault="00CB1BA6" w:rsidP="00CB1BA6">
      <w:pPr>
        <w:rPr>
          <w:rStyle w:val="Strong"/>
        </w:rPr>
      </w:pPr>
      <w:r w:rsidRPr="00C87891">
        <w:rPr>
          <w:rStyle w:val="Strong"/>
        </w:rPr>
        <w:t>Electricity metering</w:t>
      </w:r>
    </w:p>
    <w:p w14:paraId="4E044F34" w14:textId="77777777" w:rsidR="00CB1BA6" w:rsidRPr="00C87891" w:rsidRDefault="00CB1BA6" w:rsidP="00CB1BA6">
      <w:r w:rsidRPr="00C87891">
        <w:t>On the basis of the current and voltage values measured by the transformers, the electricity me</w:t>
      </w:r>
      <w:r w:rsidRPr="00C87891">
        <w:softHyphen/>
        <w:t xml:space="preserve">ters determine the active energy flow in both directions related to a given time frame. The electricity meters at the accounting points must have an accuracy class rating of 0.2. </w:t>
      </w:r>
    </w:p>
    <w:p w14:paraId="165F4A65" w14:textId="77777777" w:rsidR="00CB1BA6" w:rsidRPr="00C87891" w:rsidRDefault="00CB1BA6" w:rsidP="00CB1BA6">
      <w:pPr>
        <w:rPr>
          <w:rStyle w:val="Strong"/>
        </w:rPr>
      </w:pPr>
      <w:r w:rsidRPr="00C87891">
        <w:rPr>
          <w:rStyle w:val="Strong"/>
        </w:rPr>
        <w:t>Redundancy</w:t>
      </w:r>
    </w:p>
    <w:p w14:paraId="60B5C9A0" w14:textId="67F233E6" w:rsidR="00CB1BA6" w:rsidRPr="00C87891" w:rsidRDefault="00CB1BA6" w:rsidP="00CB1BA6">
      <w:r w:rsidRPr="00C87891">
        <w:t>Metering points must be equipped with main and check meters at each Tie-Line. Main and check meter must be connected each to a separate core of the current transformer.</w:t>
      </w:r>
      <w:r w:rsidR="003754D8">
        <w:t xml:space="preserve"> Equivalent solution to this is allowed.</w:t>
      </w:r>
    </w:p>
    <w:p w14:paraId="3904DD29" w14:textId="77777777" w:rsidR="00CB1BA6" w:rsidRPr="00C87891" w:rsidRDefault="00CB1BA6" w:rsidP="00CB1BA6">
      <w:pPr>
        <w:rPr>
          <w:rStyle w:val="Strong"/>
        </w:rPr>
      </w:pPr>
      <w:r w:rsidRPr="00C87891">
        <w:rPr>
          <w:rStyle w:val="Strong"/>
        </w:rPr>
        <w:t>Transformer cables</w:t>
      </w:r>
    </w:p>
    <w:p w14:paraId="0AA5462A" w14:textId="77777777" w:rsidR="00CB1BA6" w:rsidRPr="00C87891" w:rsidRDefault="00CB1BA6" w:rsidP="00CB1BA6">
      <w:r w:rsidRPr="00C87891">
        <w:t>Due to the accuracy of the whole metering, voltage transformer cables must be designed in such a way that a voltage drop is reduced to 0.1% or less of the nominal voltage.</w:t>
      </w:r>
    </w:p>
    <w:p w14:paraId="01816BB0" w14:textId="77777777" w:rsidR="00CB1BA6" w:rsidRPr="00C87891" w:rsidRDefault="00CB1BA6" w:rsidP="00CB1BA6">
      <w:pPr>
        <w:keepNext/>
        <w:rPr>
          <w:rStyle w:val="Strong"/>
        </w:rPr>
      </w:pPr>
      <w:r w:rsidRPr="00C87891">
        <w:rPr>
          <w:rStyle w:val="Strong"/>
        </w:rPr>
        <w:lastRenderedPageBreak/>
        <w:t>Telecounter</w:t>
      </w:r>
    </w:p>
    <w:p w14:paraId="5D0CFBC7" w14:textId="77777777" w:rsidR="00CB1BA6" w:rsidRPr="00C87891" w:rsidRDefault="00CB1BA6" w:rsidP="00CB1BA6">
      <w:r w:rsidRPr="00C87891">
        <w:t xml:space="preserve">The task of a telecounter is the acquisition of metered values from the electricity meters at the metering point and the teletransmission of this data to the central accounting office of every partner concerned (remote meter reading). The counters at a metering point must be doubled. </w:t>
      </w:r>
    </w:p>
    <w:p w14:paraId="5623EE04" w14:textId="77777777" w:rsidR="00CB1BA6" w:rsidRPr="00C87891" w:rsidRDefault="00CB1BA6" w:rsidP="00082AC3">
      <w:pPr>
        <w:pStyle w:val="Heading4"/>
      </w:pPr>
      <w:r w:rsidRPr="00C87891">
        <w:t xml:space="preserve">Availability and timing for meter measurement data exchange process </w:t>
      </w:r>
    </w:p>
    <w:p w14:paraId="3B6EE3E6" w14:textId="1213EEBA" w:rsidR="00CB1BA6" w:rsidRPr="00C87891" w:rsidRDefault="00CB1BA6" w:rsidP="00CB1BA6">
      <w:r>
        <w:t>The SAFA parties m</w:t>
      </w:r>
      <w:r w:rsidRPr="00C87891">
        <w:t>ust follow the deadlines outlined in</w:t>
      </w:r>
      <w:r w:rsidR="00632FF6">
        <w:t xml:space="preserve"> </w:t>
      </w:r>
      <w:r w:rsidR="00632FF6">
        <w:fldChar w:fldCharType="begin"/>
      </w:r>
      <w:r w:rsidR="00632FF6">
        <w:instrText xml:space="preserve"> REF _Ref55910097 \r \h </w:instrText>
      </w:r>
      <w:r w:rsidR="00632FF6">
        <w:fldChar w:fldCharType="separate"/>
      </w:r>
      <w:r w:rsidR="00D26D46">
        <w:t>C-12-2</w:t>
      </w:r>
      <w:r w:rsidR="00632FF6">
        <w:fldChar w:fldCharType="end"/>
      </w:r>
      <w:r w:rsidR="00BB7BEC">
        <w:t>.</w:t>
      </w:r>
    </w:p>
    <w:p w14:paraId="2829BD3B" w14:textId="77777777" w:rsidR="00CB1BA6" w:rsidRPr="00C87891" w:rsidRDefault="00CB1BA6" w:rsidP="00082AC3">
      <w:pPr>
        <w:pStyle w:val="Heading4"/>
      </w:pPr>
      <w:r w:rsidRPr="00C87891">
        <w:t>Availability and timing of accounting data exchange process</w:t>
      </w:r>
    </w:p>
    <w:p w14:paraId="644D4FA2" w14:textId="7BBA2358" w:rsidR="00CB1BA6" w:rsidRPr="00C87891" w:rsidRDefault="00CB1BA6" w:rsidP="00CB1BA6">
      <w:pPr>
        <w:widowControl w:val="0"/>
        <w:adjustRightInd w:val="0"/>
        <w:textAlignment w:val="baseline"/>
        <w:rPr>
          <w:rFonts w:ascii="Arial" w:hAnsi="Arial" w:cs="Arial"/>
        </w:rPr>
      </w:pPr>
      <w:r>
        <w:rPr>
          <w:rFonts w:ascii="Arial" w:hAnsi="Arial" w:cs="Arial"/>
        </w:rPr>
        <w:t>The SAFA parties must</w:t>
      </w:r>
      <w:r w:rsidRPr="00C87891">
        <w:rPr>
          <w:rFonts w:ascii="Arial" w:hAnsi="Arial" w:cs="Arial"/>
        </w:rPr>
        <w:t xml:space="preserve"> follow the </w:t>
      </w:r>
      <w:r w:rsidRPr="00C87891">
        <w:t>deadlines outlined</w:t>
      </w:r>
      <w:r w:rsidRPr="00C87891">
        <w:rPr>
          <w:rFonts w:ascii="Arial" w:hAnsi="Arial" w:cs="Arial"/>
        </w:rPr>
        <w:t xml:space="preserve"> in </w:t>
      </w:r>
      <w:r w:rsidR="00632FF6">
        <w:fldChar w:fldCharType="begin"/>
      </w:r>
      <w:r w:rsidR="00632FF6">
        <w:instrText xml:space="preserve"> REF _Ref55910097 \r \h </w:instrText>
      </w:r>
      <w:r w:rsidR="00632FF6">
        <w:fldChar w:fldCharType="separate"/>
      </w:r>
      <w:r w:rsidR="00D26D46">
        <w:t>C-12-2</w:t>
      </w:r>
      <w:r w:rsidR="00632FF6">
        <w:fldChar w:fldCharType="end"/>
      </w:r>
      <w:r w:rsidR="00BB7BEC">
        <w:t>.</w:t>
      </w:r>
    </w:p>
    <w:p w14:paraId="04F4D378" w14:textId="77777777" w:rsidR="00CB1BA6" w:rsidRPr="00C87891" w:rsidRDefault="00CB1BA6" w:rsidP="00082AC3">
      <w:pPr>
        <w:pStyle w:val="Heading4"/>
      </w:pPr>
      <w:bookmarkStart w:id="88" w:name="_Ref523390400"/>
      <w:r w:rsidRPr="00C87891">
        <w:t>Troubleshooting procedure</w:t>
      </w:r>
      <w:bookmarkEnd w:id="88"/>
    </w:p>
    <w:p w14:paraId="3F615F5C" w14:textId="02CD8AAB" w:rsidR="00CB1BA6" w:rsidRPr="00C87891" w:rsidRDefault="00CB1BA6" w:rsidP="00CB1BA6">
      <w:pPr>
        <w:widowControl w:val="0"/>
        <w:adjustRightInd w:val="0"/>
        <w:spacing w:after="60" w:line="360" w:lineRule="atLeast"/>
        <w:textAlignment w:val="baseline"/>
        <w:rPr>
          <w:rFonts w:ascii="Arial" w:hAnsi="Arial" w:cs="Arial"/>
        </w:rPr>
      </w:pPr>
      <w:r>
        <w:rPr>
          <w:rFonts w:ascii="Arial" w:hAnsi="Arial" w:cs="Arial"/>
        </w:rPr>
        <w:t xml:space="preserve">The TSOs have to apply </w:t>
      </w:r>
      <w:r w:rsidR="00246E74">
        <w:rPr>
          <w:rFonts w:ascii="Arial" w:hAnsi="Arial" w:cs="Arial"/>
        </w:rPr>
        <w:t xml:space="preserve">bilaterally </w:t>
      </w:r>
      <w:r>
        <w:rPr>
          <w:rFonts w:ascii="Arial" w:hAnsi="Arial" w:cs="Arial"/>
        </w:rPr>
        <w:t xml:space="preserve">the agreed rules for troubleshooting </w:t>
      </w:r>
      <w:r w:rsidRPr="00C87891">
        <w:rPr>
          <w:rFonts w:ascii="Arial" w:hAnsi="Arial" w:cs="Arial"/>
        </w:rPr>
        <w:t xml:space="preserve">(see </w:t>
      </w:r>
      <w:r w:rsidRPr="00A263F1">
        <w:rPr>
          <w:rFonts w:ascii="Arial" w:hAnsi="Arial" w:cs="Arial"/>
        </w:rPr>
        <w:fldChar w:fldCharType="begin"/>
      </w:r>
      <w:r w:rsidRPr="00C87891">
        <w:rPr>
          <w:rFonts w:ascii="Arial" w:hAnsi="Arial" w:cs="Arial"/>
        </w:rPr>
        <w:instrText xml:space="preserve"> REF _Ref196725668 \r \h  \* MERGEFORMAT </w:instrText>
      </w:r>
      <w:r w:rsidRPr="00A263F1">
        <w:rPr>
          <w:rFonts w:ascii="Arial" w:hAnsi="Arial" w:cs="Arial"/>
        </w:rPr>
      </w:r>
      <w:r w:rsidRPr="00A263F1">
        <w:rPr>
          <w:rFonts w:ascii="Arial" w:hAnsi="Arial" w:cs="Arial"/>
        </w:rPr>
        <w:fldChar w:fldCharType="separate"/>
      </w:r>
      <w:r w:rsidR="00D26D46">
        <w:rPr>
          <w:rFonts w:ascii="Arial" w:hAnsi="Arial" w:cs="Arial"/>
        </w:rPr>
        <w:t>C-7-1</w:t>
      </w:r>
      <w:r w:rsidRPr="00A263F1">
        <w:rPr>
          <w:rFonts w:ascii="Arial" w:hAnsi="Arial" w:cs="Arial"/>
        </w:rPr>
        <w:fldChar w:fldCharType="end"/>
      </w:r>
      <w:r w:rsidRPr="00C87891">
        <w:rPr>
          <w:rFonts w:ascii="Arial" w:hAnsi="Arial" w:cs="Arial"/>
        </w:rPr>
        <w:t>).</w:t>
      </w:r>
    </w:p>
    <w:p w14:paraId="7155B572" w14:textId="0DCE00FB" w:rsidR="00CB1BA6" w:rsidRDefault="00CB1BA6" w:rsidP="00632FF6">
      <w:pPr>
        <w:widowControl w:val="0"/>
        <w:adjustRightInd w:val="0"/>
        <w:spacing w:after="60" w:line="360" w:lineRule="atLeast"/>
        <w:textAlignment w:val="baseline"/>
        <w:rPr>
          <w:rFonts w:ascii="Arial" w:hAnsi="Arial" w:cs="Arial"/>
        </w:rPr>
      </w:pPr>
      <w:r w:rsidRPr="00C87891">
        <w:rPr>
          <w:rFonts w:ascii="Arial" w:hAnsi="Arial" w:cs="Arial"/>
        </w:rPr>
        <w:t>The TSO are obliged to send their available</w:t>
      </w:r>
      <w:r w:rsidR="00246E74">
        <w:rPr>
          <w:rFonts w:ascii="Arial" w:hAnsi="Arial" w:cs="Arial"/>
        </w:rPr>
        <w:t xml:space="preserve"> or substitute</w:t>
      </w:r>
      <w:r w:rsidRPr="00C87891">
        <w:rPr>
          <w:rFonts w:ascii="Arial" w:hAnsi="Arial" w:cs="Arial"/>
        </w:rPr>
        <w:t xml:space="preserve"> Accounting Data even if values do not match at deadline</w:t>
      </w:r>
      <w:r w:rsidR="00246E74">
        <w:rPr>
          <w:rFonts w:ascii="Arial" w:hAnsi="Arial" w:cs="Arial"/>
        </w:rPr>
        <w:t xml:space="preserve"> (see </w:t>
      </w:r>
      <w:r w:rsidR="00246E74" w:rsidRPr="00A263F1">
        <w:rPr>
          <w:rFonts w:ascii="Arial" w:hAnsi="Arial" w:cs="Arial"/>
        </w:rPr>
        <w:fldChar w:fldCharType="begin"/>
      </w:r>
      <w:r w:rsidR="00246E74">
        <w:rPr>
          <w:rFonts w:ascii="Arial" w:hAnsi="Arial" w:cs="Arial"/>
        </w:rPr>
        <w:instrText xml:space="preserve"> REF _Ref62107897 \r \h </w:instrText>
      </w:r>
      <w:r w:rsidR="00246E74" w:rsidRPr="00A263F1">
        <w:rPr>
          <w:rFonts w:ascii="Arial" w:hAnsi="Arial" w:cs="Arial"/>
        </w:rPr>
      </w:r>
      <w:r w:rsidR="00246E74" w:rsidRPr="00A263F1">
        <w:rPr>
          <w:rFonts w:ascii="Arial" w:hAnsi="Arial" w:cs="Arial"/>
        </w:rPr>
        <w:fldChar w:fldCharType="separate"/>
      </w:r>
      <w:r w:rsidR="00D26D46">
        <w:rPr>
          <w:rFonts w:ascii="Arial" w:hAnsi="Arial" w:cs="Arial"/>
        </w:rPr>
        <w:t>C-12-2</w:t>
      </w:r>
      <w:r w:rsidR="00246E74" w:rsidRPr="00A263F1">
        <w:rPr>
          <w:rFonts w:ascii="Arial" w:hAnsi="Arial" w:cs="Arial"/>
        </w:rPr>
        <w:fldChar w:fldCharType="end"/>
      </w:r>
      <w:r w:rsidR="00246E74">
        <w:rPr>
          <w:rFonts w:ascii="Arial" w:hAnsi="Arial" w:cs="Arial"/>
        </w:rPr>
        <w:t>)</w:t>
      </w:r>
      <w:r w:rsidRPr="00C87891">
        <w:rPr>
          <w:rFonts w:ascii="Arial" w:hAnsi="Arial" w:cs="Arial"/>
        </w:rPr>
        <w:t>.</w:t>
      </w:r>
    </w:p>
    <w:p w14:paraId="0E87C1F4" w14:textId="64B0DFFA" w:rsidR="006343B0" w:rsidRDefault="006343B0" w:rsidP="006343B0">
      <w:pPr>
        <w:pStyle w:val="Heading3"/>
      </w:pPr>
      <w:bookmarkStart w:id="89" w:name="_Toc107495737"/>
      <w:r w:rsidRPr="00C87891">
        <w:t>Workflow of accounting process</w:t>
      </w:r>
      <w:bookmarkEnd w:id="83"/>
      <w:bookmarkEnd w:id="89"/>
    </w:p>
    <w:p w14:paraId="7C5BA332" w14:textId="7093A980" w:rsidR="005C17D5" w:rsidRPr="00C87891" w:rsidRDefault="005C17D5" w:rsidP="005C17D5">
      <w:r w:rsidRPr="00C87891">
        <w:t>The workflow of the Accounting Process</w:t>
      </w:r>
      <w:r>
        <w:t xml:space="preserve"> </w:t>
      </w:r>
      <w:r w:rsidRPr="00C87891">
        <w:t xml:space="preserve">is described in the </w:t>
      </w:r>
      <w:r w:rsidRPr="00D9296D">
        <w:t>ACCOUNTING AND FINANCIAL SETTLEMENT OF KF, ACE AND RAMPING PERIOD (FSKAR) IMPLEMENTATION GUIDE.</w:t>
      </w:r>
      <w:r w:rsidRPr="00C87891">
        <w:t xml:space="preserve"> </w:t>
      </w:r>
    </w:p>
    <w:p w14:paraId="0DBC823F" w14:textId="4BDBF0F4" w:rsidR="001F14B5" w:rsidRPr="001F14B5" w:rsidRDefault="00CB1BA6" w:rsidP="00B21E31">
      <w:pPr>
        <w:pStyle w:val="Heading4"/>
      </w:pPr>
      <w:r>
        <w:t>Inputs</w:t>
      </w:r>
    </w:p>
    <w:p w14:paraId="14F216DD" w14:textId="056B5241" w:rsidR="00CB1BA6" w:rsidRDefault="00DF2746" w:rsidP="00632FF6">
      <w:r w:rsidRPr="00DF2746">
        <w:t xml:space="preserve">The Verification Platform provides the scheduled exchanges </w:t>
      </w:r>
      <w:r w:rsidR="00A047AA">
        <w:t>(</w:t>
      </w:r>
      <w:r w:rsidR="00A047AA" w:rsidRPr="00CB1BA6">
        <w:t>ANES</w:t>
      </w:r>
      <w:r w:rsidR="00A047AA">
        <w:t xml:space="preserve">) </w:t>
      </w:r>
      <w:r w:rsidRPr="00DF2746">
        <w:t xml:space="preserve">to </w:t>
      </w:r>
      <w:r w:rsidRPr="00ED2BE9">
        <w:t xml:space="preserve">the </w:t>
      </w:r>
      <w:r w:rsidR="002E2691">
        <w:t>Coordination</w:t>
      </w:r>
      <w:r w:rsidR="008D666C">
        <w:t xml:space="preserve"> Centre</w:t>
      </w:r>
      <w:r w:rsidRPr="00ED2BE9">
        <w:t xml:space="preserve">s. </w:t>
      </w:r>
    </w:p>
    <w:p w14:paraId="7E1E04EF" w14:textId="727D547B" w:rsidR="004F0BAB" w:rsidRDefault="00846050" w:rsidP="0019363E">
      <w:r w:rsidRPr="009E0E53">
        <w:t xml:space="preserve">TSOs with </w:t>
      </w:r>
      <w:r w:rsidRPr="0019363E">
        <w:t>yearly K-factors</w:t>
      </w:r>
      <w:r w:rsidRPr="009E0E53">
        <w:t xml:space="preserve"> send them to the </w:t>
      </w:r>
      <w:r w:rsidR="002E2691">
        <w:t>Coordination</w:t>
      </w:r>
      <w:r w:rsidR="008D666C" w:rsidRPr="009E0E53">
        <w:t xml:space="preserve"> Centre</w:t>
      </w:r>
      <w:r w:rsidRPr="009E0E53">
        <w:t xml:space="preserve">s once per year. </w:t>
      </w:r>
      <w:r w:rsidR="00DF2746" w:rsidRPr="009E0E53">
        <w:t xml:space="preserve">TSOs participating in the FCR cooperation update these </w:t>
      </w:r>
      <w:r w:rsidR="00DF2746" w:rsidRPr="0019363E">
        <w:t>K-factors</w:t>
      </w:r>
      <w:r w:rsidR="00DF2746" w:rsidRPr="009E0E53">
        <w:t xml:space="preserve"> on a daily basis with 4h-resolution,</w:t>
      </w:r>
      <w:r w:rsidRPr="009E0E53">
        <w:t xml:space="preserve"> </w:t>
      </w:r>
      <w:r w:rsidR="00DF2746" w:rsidRPr="00E16283">
        <w:t xml:space="preserve">therefore </w:t>
      </w:r>
      <w:r w:rsidRPr="00E16283">
        <w:t xml:space="preserve">they </w:t>
      </w:r>
      <w:r w:rsidR="00DF2746" w:rsidRPr="00E16283">
        <w:t xml:space="preserve">are required to additionally send the updated K-factors to the </w:t>
      </w:r>
      <w:r w:rsidR="002E2691">
        <w:t>Coordination</w:t>
      </w:r>
      <w:r w:rsidR="008D666C" w:rsidRPr="00E16283">
        <w:t xml:space="preserve"> Centre</w:t>
      </w:r>
      <w:r w:rsidR="00DF2746" w:rsidRPr="00E16283">
        <w:t>s</w:t>
      </w:r>
      <w:r w:rsidR="00DF2746" w:rsidRPr="0019363E">
        <w:t xml:space="preserve">. </w:t>
      </w:r>
      <w:r w:rsidR="00ED2BE9" w:rsidRPr="0EFB0128">
        <w:t xml:space="preserve">System Operator Swissgrid sends the </w:t>
      </w:r>
      <w:r w:rsidR="00ED2BE9" w:rsidRPr="009E0E53">
        <w:rPr>
          <w:b/>
          <w:bCs/>
        </w:rPr>
        <w:t>Δ</w:t>
      </w:r>
      <w:r w:rsidR="00ED2BE9" w:rsidRPr="009E0E53">
        <w:rPr>
          <w:b/>
          <w:bCs/>
          <w:i/>
          <w:iCs/>
        </w:rPr>
        <w:t>f</w:t>
      </w:r>
      <w:r w:rsidR="00ED2BE9" w:rsidRPr="0EFB0128">
        <w:t xml:space="preserve"> to the </w:t>
      </w:r>
      <w:r w:rsidR="002E2691">
        <w:t>Coordination</w:t>
      </w:r>
      <w:r w:rsidR="008D666C">
        <w:t xml:space="preserve"> Centre</w:t>
      </w:r>
      <w:r w:rsidR="002A06BE">
        <w:t>s</w:t>
      </w:r>
      <w:r w:rsidR="0019363E">
        <w:t>.</w:t>
      </w:r>
    </w:p>
    <w:p w14:paraId="51DA87D6" w14:textId="07D88374" w:rsidR="005B111B" w:rsidRDefault="005B111B" w:rsidP="0019363E">
      <w:r>
        <w:t xml:space="preserve">The submission deadline of these data is the first working day after energy delivery as detailed in the </w:t>
      </w:r>
      <w:r>
        <w:fldChar w:fldCharType="begin"/>
      </w:r>
      <w:r>
        <w:instrText xml:space="preserve"> REF _Ref54956661 \h </w:instrText>
      </w:r>
      <w:r>
        <w:fldChar w:fldCharType="separate"/>
      </w:r>
      <w:r w:rsidR="00D26D46" w:rsidRPr="00C87891">
        <w:t xml:space="preserve">Table </w:t>
      </w:r>
      <w:r w:rsidR="00D26D46">
        <w:rPr>
          <w:noProof/>
        </w:rPr>
        <w:t>2</w:t>
      </w:r>
      <w:r w:rsidR="00D26D46" w:rsidRPr="00C87891">
        <w:t>: Timetable for daily accounting and settlement process</w:t>
      </w:r>
      <w:r>
        <w:fldChar w:fldCharType="end"/>
      </w:r>
      <w:r>
        <w:t>.</w:t>
      </w:r>
    </w:p>
    <w:bookmarkEnd w:id="84"/>
    <w:p w14:paraId="58A47361" w14:textId="60568D05" w:rsidR="003C5055" w:rsidRDefault="00ED2BE9" w:rsidP="00B21E31">
      <w:pPr>
        <w:pStyle w:val="Heading4"/>
      </w:pPr>
      <w:r>
        <w:t>O</w:t>
      </w:r>
      <w:r w:rsidR="00CB1BA6">
        <w:t>utputs</w:t>
      </w:r>
    </w:p>
    <w:p w14:paraId="6155FA18" w14:textId="1662D5F9" w:rsidR="00333114" w:rsidRPr="00E409A9" w:rsidRDefault="00333114" w:rsidP="00333114">
      <w:r w:rsidRPr="0EFB0128">
        <w:t>The energy exchange</w:t>
      </w:r>
      <w:r>
        <w:t>s</w:t>
      </w:r>
      <w:r w:rsidRPr="0EFB0128">
        <w:t xml:space="preserve"> </w:t>
      </w:r>
      <w:r>
        <w:t>are</w:t>
      </w:r>
      <w:r w:rsidRPr="0EFB0128">
        <w:t xml:space="preserve"> calculated as follows:</w:t>
      </w:r>
    </w:p>
    <w:p w14:paraId="3645BE52" w14:textId="6E7E4220" w:rsidR="00CB1BA6" w:rsidRPr="00BA1908" w:rsidRDefault="00CB1BA6" w:rsidP="00333114">
      <w:pPr>
        <w:widowControl w:val="0"/>
        <w:adjustRightInd w:val="0"/>
        <w:spacing w:after="60" w:line="360" w:lineRule="atLeast"/>
        <w:textAlignment w:val="baseline"/>
        <w:rPr>
          <w:rStyle w:val="Strong"/>
          <w:b w:val="0"/>
          <w:bCs w:val="0"/>
        </w:rPr>
      </w:pPr>
      <w:r>
        <w:t>FCP Energy, for each LFC area or LFC block, using the corresponding K-factor, the frequency deviation Δ</w:t>
      </w:r>
      <w:r w:rsidRPr="009E0E53">
        <w:rPr>
          <w:i/>
          <w:iCs/>
        </w:rPr>
        <w:t>f</w:t>
      </w:r>
      <w:r w:rsidR="00541F8A">
        <w:t>:</w:t>
      </w:r>
    </w:p>
    <w:p w14:paraId="0FF60911" w14:textId="780D2791" w:rsidR="00333114" w:rsidRPr="00CB1BA6" w:rsidRDefault="00D26D46" w:rsidP="00333114">
      <w:pPr>
        <w:widowControl w:val="0"/>
        <w:adjustRightInd w:val="0"/>
        <w:spacing w:after="60" w:line="360" w:lineRule="atLeast"/>
        <w:textAlignment w:val="baseline"/>
      </w:pPr>
      <m:oMathPara>
        <m:oMath>
          <m:sSub>
            <m:sSubPr>
              <m:ctrlPr>
                <w:rPr>
                  <w:rFonts w:ascii="Cambria Math" w:hAnsi="Cambria Math"/>
                  <w:i/>
                </w:rPr>
              </m:ctrlPr>
            </m:sSubPr>
            <m:e>
              <m:r>
                <w:rPr>
                  <w:rFonts w:ascii="Cambria Math" w:hAnsi="Cambria Math"/>
                </w:rPr>
                <m:t>E</m:t>
              </m:r>
            </m:e>
            <m:sub>
              <m:r>
                <w:rPr>
                  <w:rFonts w:ascii="Cambria Math" w:hAnsi="Cambria Math"/>
                </w:rPr>
                <m:t>FCP</m:t>
              </m:r>
            </m:sub>
          </m:sSub>
          <m:r>
            <w:rPr>
              <w:rFonts w:ascii="Cambria Math" w:hAnsi="Cambria Math"/>
            </w:rPr>
            <m:t>=-k*∆f*</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h</m:t>
          </m:r>
        </m:oMath>
      </m:oMathPara>
    </w:p>
    <w:p w14:paraId="73191AE6" w14:textId="1C47B5CD" w:rsidR="00CB1BA6" w:rsidRPr="00EF4B73" w:rsidRDefault="00CB1BA6" w:rsidP="00333114">
      <w:pPr>
        <w:widowControl w:val="0"/>
        <w:adjustRightInd w:val="0"/>
        <w:spacing w:after="60" w:line="360" w:lineRule="atLeast"/>
        <w:textAlignment w:val="baseline"/>
      </w:pPr>
      <w:r>
        <w:t>RP Energy for the quarter hour n referring to the scheduled ANES</w:t>
      </w:r>
      <w:r w:rsidR="006A1235">
        <w:t xml:space="preserve"> (MW)</w:t>
      </w:r>
      <w:r>
        <w:t xml:space="preserve"> in quarter-hours n-1 and n+1 (previous and following quarter hours)</w:t>
      </w:r>
      <w:r w:rsidR="00541F8A">
        <w:t>:</w:t>
      </w:r>
    </w:p>
    <w:p w14:paraId="5ABACAEB" w14:textId="54773231" w:rsidR="00EF4B73" w:rsidRPr="00CB1BA6" w:rsidRDefault="00D26D46" w:rsidP="00333114">
      <w:pPr>
        <w:widowControl w:val="0"/>
        <w:adjustRightInd w:val="0"/>
        <w:spacing w:after="60" w:line="360" w:lineRule="atLeast"/>
        <w:textAlignment w:val="baseline"/>
      </w:pPr>
      <m:oMathPara>
        <m:oMath>
          <m:sSub>
            <m:sSubPr>
              <m:ctrlPr>
                <w:rPr>
                  <w:rFonts w:ascii="Cambria Math" w:hAnsi="Cambria Math"/>
                  <w:i/>
                </w:rPr>
              </m:ctrlPr>
            </m:sSubPr>
            <m:e>
              <m:r>
                <w:rPr>
                  <w:rFonts w:ascii="Cambria Math" w:hAnsi="Cambria Math"/>
                </w:rPr>
                <m:t>E</m:t>
              </m:r>
            </m:e>
            <m:sub>
              <m:r>
                <w:rPr>
                  <w:rFonts w:ascii="Cambria Math" w:hAnsi="Cambria Math"/>
                </w:rPr>
                <m:t>RP</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n-1</m:t>
                      </m:r>
                    </m:sub>
                  </m:sSub>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m:t>
                      </m:r>
                    </m:sub>
                  </m:sSub>
                </m:e>
              </m:d>
              <m:r>
                <w:rPr>
                  <w:rFonts w:ascii="Cambria Math" w:hAnsi="Cambria Math"/>
                </w:rPr>
                <m:t>/2</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60</m:t>
              </m:r>
            </m:den>
          </m:f>
          <m:r>
            <w:rPr>
              <w:rFonts w:ascii="Cambria Math" w:hAnsi="Cambria Math"/>
            </w:rPr>
            <m:t>h+</m:t>
          </m:r>
          <m:f>
            <m:fPr>
              <m:ctrlPr>
                <w:rPr>
                  <w:rFonts w:ascii="Cambria Math" w:hAnsi="Cambria Math"/>
                  <w:i/>
                </w:rPr>
              </m:ctrlPr>
            </m:fPr>
            <m:num>
              <m:d>
                <m:dPr>
                  <m:ctrlPr>
                    <w:rPr>
                      <w:rFonts w:ascii="Cambria Math" w:hAnsi="Cambria Math"/>
                      <w:i/>
                    </w:rPr>
                  </m:ctrlPr>
                </m:dPr>
                <m:e>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n+1</m:t>
                      </m:r>
                    </m:sub>
                  </m:sSub>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m:t>
                      </m:r>
                    </m:sub>
                  </m:sSub>
                </m:e>
              </m:d>
              <m:r>
                <w:rPr>
                  <w:rFonts w:ascii="Cambria Math" w:hAnsi="Cambria Math"/>
                </w:rPr>
                <m:t>/2</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60</m:t>
              </m:r>
            </m:den>
          </m:f>
          <m:r>
            <w:rPr>
              <w:rFonts w:ascii="Cambria Math" w:hAnsi="Cambria Math"/>
            </w:rPr>
            <m:t>h</m:t>
          </m:r>
        </m:oMath>
      </m:oMathPara>
    </w:p>
    <w:p w14:paraId="7BCD72B7" w14:textId="4BE70A44" w:rsidR="00CB1BA6" w:rsidRPr="00116E5D" w:rsidRDefault="00CB1BA6" w:rsidP="00333114">
      <w:pPr>
        <w:widowControl w:val="0"/>
        <w:adjustRightInd w:val="0"/>
        <w:spacing w:after="60" w:line="360" w:lineRule="atLeast"/>
        <w:textAlignment w:val="baseline"/>
      </w:pPr>
      <w:r>
        <w:lastRenderedPageBreak/>
        <w:t>UE Energy</w:t>
      </w:r>
      <w:r w:rsidR="00541F8A">
        <w:t>:</w:t>
      </w:r>
    </w:p>
    <w:p w14:paraId="6CC6865F" w14:textId="77777777" w:rsidR="00333114" w:rsidRPr="00BA1908" w:rsidRDefault="00D26D46" w:rsidP="00333114">
      <w:pPr>
        <w:widowControl w:val="0"/>
        <w:adjustRightInd w:val="0"/>
        <w:spacing w:after="60" w:line="360" w:lineRule="atLeast"/>
        <w:textAlignment w:val="baseline"/>
        <w:rPr>
          <w:rStyle w:val="Strong"/>
          <w:b w:val="0"/>
          <w:bCs w:val="0"/>
        </w:rPr>
      </w:pPr>
      <m:oMathPara>
        <m:oMath>
          <m:sSub>
            <m:sSubPr>
              <m:ctrlPr>
                <w:rPr>
                  <w:rFonts w:ascii="Cambria Math" w:hAnsi="Cambria Math"/>
                  <w:i/>
                </w:rPr>
              </m:ctrlPr>
            </m:sSubPr>
            <m:e>
              <m:r>
                <w:rPr>
                  <w:rFonts w:ascii="Cambria Math" w:hAnsi="Cambria Math"/>
                </w:rPr>
                <m:t>E</m:t>
              </m:r>
            </m:e>
            <m:sub>
              <m:r>
                <w:rPr>
                  <w:rFonts w:ascii="Cambria Math" w:hAnsi="Cambria Math"/>
                </w:rPr>
                <m:t>ue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ex</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sch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VTL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FCP</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RP</m:t>
              </m:r>
            </m:sub>
          </m:sSub>
        </m:oMath>
      </m:oMathPara>
    </w:p>
    <w:p w14:paraId="171DE95E" w14:textId="77777777" w:rsidR="00333114" w:rsidRPr="00E409A9" w:rsidRDefault="00333114" w:rsidP="00333114"/>
    <w:p w14:paraId="718E828D" w14:textId="4146CA39" w:rsidR="00333114" w:rsidRPr="00E409A9" w:rsidRDefault="00333114" w:rsidP="00333114">
      <w:r w:rsidRPr="0EFB0128">
        <w:t>The parameters in the calculations refer to the cross-border energy exchange that is intended (E</w:t>
      </w:r>
      <w:r w:rsidRPr="0EFB0128">
        <w:rPr>
          <w:vertAlign w:val="subscript"/>
        </w:rPr>
        <w:t>ie</w:t>
      </w:r>
      <w:r w:rsidRPr="0EFB0128">
        <w:t>), done through virtual tie lines (E</w:t>
      </w:r>
      <w:r w:rsidRPr="0EFB0128">
        <w:rPr>
          <w:vertAlign w:val="subscript"/>
        </w:rPr>
        <w:t>VTL</w:t>
      </w:r>
      <w:r w:rsidRPr="0EFB0128">
        <w:t>), a result of FCP (E</w:t>
      </w:r>
      <w:r w:rsidRPr="0EFB0128">
        <w:rPr>
          <w:vertAlign w:val="subscript"/>
        </w:rPr>
        <w:t>FCP</w:t>
      </w:r>
      <w:r w:rsidRPr="0EFB0128">
        <w:t>) and ramping period processes (E</w:t>
      </w:r>
      <w:r w:rsidRPr="0EFB0128">
        <w:rPr>
          <w:vertAlign w:val="subscript"/>
        </w:rPr>
        <w:t>RP</w:t>
      </w:r>
      <w:r w:rsidRPr="0EFB0128">
        <w:t>) or unintended (E</w:t>
      </w:r>
      <w:r w:rsidRPr="0EFB0128">
        <w:rPr>
          <w:vertAlign w:val="subscript"/>
        </w:rPr>
        <w:t>ue</w:t>
      </w:r>
      <w:r w:rsidRPr="0EFB0128">
        <w:t xml:space="preserve">). </w:t>
      </w:r>
    </w:p>
    <w:p w14:paraId="09F6B5AD" w14:textId="13F82BC0" w:rsidR="003C5055" w:rsidRDefault="00333114" w:rsidP="00333114">
      <w:pPr>
        <w:jc w:val="left"/>
      </w:pPr>
      <w:r w:rsidRPr="0EFB0128">
        <w:t>The outputs of the accounting function are E</w:t>
      </w:r>
      <w:r w:rsidRPr="0EFB0128">
        <w:rPr>
          <w:vertAlign w:val="subscript"/>
        </w:rPr>
        <w:t>FCP</w:t>
      </w:r>
      <w:r w:rsidRPr="0EFB0128">
        <w:t>, E</w:t>
      </w:r>
      <w:r w:rsidRPr="0EFB0128">
        <w:rPr>
          <w:vertAlign w:val="subscript"/>
        </w:rPr>
        <w:t>RP</w:t>
      </w:r>
      <w:r w:rsidRPr="0EFB0128">
        <w:t xml:space="preserve"> and E</w:t>
      </w:r>
      <w:r w:rsidR="002A63E1">
        <w:rPr>
          <w:vertAlign w:val="subscript"/>
        </w:rPr>
        <w:t>UE</w:t>
      </w:r>
      <w:r w:rsidRPr="0EFB0128">
        <w:t xml:space="preserve">. </w:t>
      </w:r>
    </w:p>
    <w:p w14:paraId="36A6779B" w14:textId="2B3B54BA" w:rsidR="002A63E1" w:rsidRDefault="002A63E1" w:rsidP="00632FF6">
      <w:pPr>
        <w:pStyle w:val="Heading4"/>
      </w:pPr>
      <w:r>
        <w:t>Daily Settlement Report</w:t>
      </w:r>
    </w:p>
    <w:p w14:paraId="1E2E3385" w14:textId="5C6F227B" w:rsidR="002A63E1" w:rsidRDefault="002A63E1" w:rsidP="00632FF6">
      <w:r>
        <w:t>As a result of the Accounting Process, the TSOs receive for their corresponding LFC area the following results through the Daily Settlement Report (DSR), for each TSO-TSO settlement period of the day:</w:t>
      </w:r>
    </w:p>
    <w:p w14:paraId="645F101E" w14:textId="77777777" w:rsidR="00094F96" w:rsidRDefault="00094F96" w:rsidP="00094F96">
      <w:pPr>
        <w:pStyle w:val="ListParagraph"/>
        <w:numPr>
          <w:ilvl w:val="0"/>
          <w:numId w:val="70"/>
        </w:numPr>
      </w:pPr>
      <w:r>
        <w:t>Scheduled energy exchanges for each border (ANES) – individual schedules will be reported</w:t>
      </w:r>
    </w:p>
    <w:p w14:paraId="2DFA4609" w14:textId="77777777" w:rsidR="00094F96" w:rsidRDefault="00094F96" w:rsidP="00094F96">
      <w:pPr>
        <w:pStyle w:val="ListParagraph"/>
        <w:numPr>
          <w:ilvl w:val="0"/>
          <w:numId w:val="70"/>
        </w:numPr>
      </w:pPr>
      <w:r>
        <w:t>The scheduled energy exchanges will include the compensation program, for the transition phase (from compensation programs to financial settlement)</w:t>
      </w:r>
    </w:p>
    <w:p w14:paraId="755D99C3" w14:textId="77777777" w:rsidR="00094F96" w:rsidRDefault="00094F96" w:rsidP="00094F96">
      <w:pPr>
        <w:pStyle w:val="ListParagraph"/>
        <w:numPr>
          <w:ilvl w:val="0"/>
          <w:numId w:val="70"/>
        </w:numPr>
      </w:pPr>
      <w:r>
        <w:t>Intended energy exchange for each Virtual Tie-Line (as reported in SOVA files) – individual tie-line exchanges will be reported</w:t>
      </w:r>
    </w:p>
    <w:p w14:paraId="22E0CD85" w14:textId="77777777" w:rsidR="00094F96" w:rsidRDefault="00094F96" w:rsidP="00094F96">
      <w:pPr>
        <w:pStyle w:val="ListParagraph"/>
        <w:numPr>
          <w:ilvl w:val="0"/>
          <w:numId w:val="70"/>
        </w:numPr>
      </w:pPr>
      <w:r>
        <w:t>Metered Tie-Line flows for each Tie-Line (as reported in SOVA files) –per individual Tie-Line</w:t>
      </w:r>
    </w:p>
    <w:p w14:paraId="475532F4" w14:textId="7CDDB33A" w:rsidR="002A63E1" w:rsidRDefault="002A63E1" w:rsidP="00632FF6">
      <w:pPr>
        <w:pStyle w:val="ListParagraph"/>
        <w:numPr>
          <w:ilvl w:val="0"/>
          <w:numId w:val="70"/>
        </w:numPr>
      </w:pPr>
      <w:r>
        <w:t>K-factors</w:t>
      </w:r>
    </w:p>
    <w:p w14:paraId="6031A6AA" w14:textId="53D6E194" w:rsidR="002A63E1" w:rsidRDefault="002A63E1" w:rsidP="00632FF6">
      <w:pPr>
        <w:pStyle w:val="ListParagraph"/>
        <w:numPr>
          <w:ilvl w:val="0"/>
          <w:numId w:val="70"/>
        </w:numPr>
      </w:pPr>
      <w:r>
        <w:t>Frequency Deviation</w:t>
      </w:r>
    </w:p>
    <w:p w14:paraId="7598C13B" w14:textId="2CC3DC30" w:rsidR="002A63E1" w:rsidRDefault="002A63E1" w:rsidP="00632FF6">
      <w:pPr>
        <w:pStyle w:val="ListParagraph"/>
        <w:numPr>
          <w:ilvl w:val="0"/>
          <w:numId w:val="70"/>
        </w:numPr>
      </w:pPr>
      <w:r>
        <w:t>Volumes of FCP Energy</w:t>
      </w:r>
      <w:r w:rsidR="00BB7BEC">
        <w:t xml:space="preserve"> for each TSO</w:t>
      </w:r>
    </w:p>
    <w:p w14:paraId="695ED817" w14:textId="411F5D06" w:rsidR="002A63E1" w:rsidRDefault="002A63E1" w:rsidP="00632FF6">
      <w:pPr>
        <w:pStyle w:val="ListParagraph"/>
        <w:numPr>
          <w:ilvl w:val="0"/>
          <w:numId w:val="70"/>
        </w:numPr>
      </w:pPr>
      <w:r>
        <w:t>Volumes of RP Energy</w:t>
      </w:r>
      <w:r w:rsidR="00BB7BEC">
        <w:t xml:space="preserve"> for each TSO</w:t>
      </w:r>
    </w:p>
    <w:p w14:paraId="5FF6315D" w14:textId="4BD53787" w:rsidR="002A63E1" w:rsidRPr="00632FF6" w:rsidRDefault="002A63E1" w:rsidP="00632FF6">
      <w:pPr>
        <w:pStyle w:val="ListParagraph"/>
        <w:numPr>
          <w:ilvl w:val="0"/>
          <w:numId w:val="70"/>
        </w:numPr>
      </w:pPr>
      <w:r>
        <w:t>Volumes of UE Energy</w:t>
      </w:r>
      <w:r w:rsidR="00BB7BEC">
        <w:t xml:space="preserve"> for each TSO</w:t>
      </w:r>
    </w:p>
    <w:p w14:paraId="3990F1CC" w14:textId="4458DB0B" w:rsidR="00ED2BE9" w:rsidRDefault="002A63E1" w:rsidP="003A5F0E">
      <w:pPr>
        <w:rPr>
          <w:rFonts w:ascii="Arial" w:hAnsi="Arial" w:cs="Arial"/>
        </w:rPr>
      </w:pPr>
      <w:r>
        <w:rPr>
          <w:rFonts w:ascii="Arial" w:hAnsi="Arial" w:cs="Arial"/>
        </w:rPr>
        <w:t xml:space="preserve">The TSOs have 4 Working Days to review the DSR for each day. In case of needed corrections, TSOs shall inform the </w:t>
      </w:r>
      <w:r w:rsidR="002E2691">
        <w:rPr>
          <w:rFonts w:ascii="Arial" w:hAnsi="Arial" w:cs="Arial"/>
        </w:rPr>
        <w:t>Coordination</w:t>
      </w:r>
      <w:r w:rsidR="00BB7BEC">
        <w:rPr>
          <w:rFonts w:ascii="Arial" w:hAnsi="Arial" w:cs="Arial"/>
        </w:rPr>
        <w:t xml:space="preserve"> Centres</w:t>
      </w:r>
      <w:r>
        <w:rPr>
          <w:rFonts w:ascii="Arial" w:hAnsi="Arial" w:cs="Arial"/>
        </w:rPr>
        <w:t xml:space="preserve"> immediately and align bilaterally to correct the data. After corrections, </w:t>
      </w:r>
      <w:r w:rsidR="002E2691">
        <w:rPr>
          <w:rFonts w:ascii="Arial" w:hAnsi="Arial" w:cs="Arial"/>
        </w:rPr>
        <w:t>Coordination</w:t>
      </w:r>
      <w:r w:rsidR="00BB7BEC">
        <w:rPr>
          <w:rFonts w:ascii="Arial" w:hAnsi="Arial" w:cs="Arial"/>
        </w:rPr>
        <w:t xml:space="preserve"> Centres</w:t>
      </w:r>
      <w:r>
        <w:rPr>
          <w:rFonts w:ascii="Arial" w:hAnsi="Arial" w:cs="Arial"/>
        </w:rPr>
        <w:t xml:space="preserve"> shall send a corrected DSR to the TSOs. This concludes the Accounting Process.</w:t>
      </w:r>
    </w:p>
    <w:p w14:paraId="70064EC6" w14:textId="5F988A56" w:rsidR="002A63E1" w:rsidRDefault="002A63E1">
      <w:pPr>
        <w:jc w:val="left"/>
        <w:rPr>
          <w:rFonts w:ascii="Arial" w:hAnsi="Arial" w:cs="Arial"/>
        </w:rPr>
      </w:pPr>
      <w:r>
        <w:rPr>
          <w:rFonts w:ascii="Arial" w:hAnsi="Arial" w:cs="Arial"/>
        </w:rPr>
        <w:br w:type="page"/>
      </w:r>
    </w:p>
    <w:p w14:paraId="6136073A" w14:textId="2DD10B80" w:rsidR="00736A9B" w:rsidRPr="00C87891" w:rsidRDefault="00736A9B" w:rsidP="00AA7D71">
      <w:pPr>
        <w:pStyle w:val="Heading2"/>
      </w:pPr>
      <w:bookmarkStart w:id="90" w:name="_Toc107495738"/>
      <w:r w:rsidRPr="00C87891">
        <w:lastRenderedPageBreak/>
        <w:t>Standar</w:t>
      </w:r>
      <w:r w:rsidR="00AA7D71" w:rsidRPr="00C87891">
        <w:t>d</w:t>
      </w:r>
      <w:r w:rsidRPr="00C87891">
        <w:t xml:space="preserve">s - </w:t>
      </w:r>
      <w:r w:rsidR="00723C31" w:rsidRPr="00C87891">
        <w:t>Settlement process</w:t>
      </w:r>
      <w:bookmarkEnd w:id="90"/>
    </w:p>
    <w:p w14:paraId="72C5DE50" w14:textId="02A6D052" w:rsidR="002A63E1" w:rsidRDefault="002A63E1" w:rsidP="00632FF6">
      <w:pPr>
        <w:pStyle w:val="Heading3"/>
      </w:pPr>
      <w:bookmarkStart w:id="91" w:name="_Toc107495739"/>
      <w:r>
        <w:t>Overview</w:t>
      </w:r>
      <w:bookmarkEnd w:id="91"/>
    </w:p>
    <w:p w14:paraId="3E60AE55" w14:textId="4DD787A1" w:rsidR="002A63E1" w:rsidRDefault="00AA7D71" w:rsidP="002A63E1">
      <w:r w:rsidRPr="00C87891">
        <w:t xml:space="preserve">The daily </w:t>
      </w:r>
      <w:r w:rsidR="00E249D9" w:rsidRPr="00C87891">
        <w:t>Settlement Process</w:t>
      </w:r>
      <w:r w:rsidRPr="00C87891">
        <w:t xml:space="preserve"> starts after the finalisation of the daily </w:t>
      </w:r>
      <w:r w:rsidR="00E249D9" w:rsidRPr="00C87891">
        <w:t>Accounting Process</w:t>
      </w:r>
      <w:r w:rsidRPr="00C87891">
        <w:t xml:space="preserve"> </w:t>
      </w:r>
      <w:r w:rsidR="002A63E1">
        <w:t>for all TSOs as well as the reception of DAMP from all TSOs.</w:t>
      </w:r>
      <w:r w:rsidR="007A009F" w:rsidRPr="00E005A0">
        <w:t xml:space="preserve"> </w:t>
      </w:r>
    </w:p>
    <w:p w14:paraId="1B1FBFB2" w14:textId="1FD80A7E" w:rsidR="002A63E1" w:rsidRDefault="002A63E1" w:rsidP="002A63E1">
      <w:r>
        <w:t xml:space="preserve">In the framework of the Settlement Process, the </w:t>
      </w:r>
      <w:r w:rsidR="002E2691">
        <w:t>Coordination</w:t>
      </w:r>
      <w:r w:rsidR="008D666C">
        <w:t xml:space="preserve"> Centre</w:t>
      </w:r>
      <w:r>
        <w:t>s determine:</w:t>
      </w:r>
    </w:p>
    <w:p w14:paraId="47879A84" w14:textId="77777777" w:rsidR="002A63E1" w:rsidRDefault="002A63E1" w:rsidP="00632FF6">
      <w:pPr>
        <w:pStyle w:val="ListParagraph"/>
        <w:numPr>
          <w:ilvl w:val="0"/>
          <w:numId w:val="71"/>
        </w:numPr>
      </w:pPr>
      <w:r>
        <w:t>Settlement Prices for FCP Energy, RP Energy and UE for each TSO-TSO Settlement Period</w:t>
      </w:r>
    </w:p>
    <w:p w14:paraId="1839BF78" w14:textId="6A65BABD" w:rsidR="002A63E1" w:rsidRDefault="002A63E1" w:rsidP="00632FF6">
      <w:pPr>
        <w:pStyle w:val="ListParagraph"/>
        <w:numPr>
          <w:ilvl w:val="0"/>
          <w:numId w:val="71"/>
        </w:numPr>
      </w:pPr>
      <w:r>
        <w:t>Monetary Values for FCP Energy, RP Energy and UE for each TSO-TSO Settlement Period, equivalent to the multiplication of volumes and prices.</w:t>
      </w:r>
    </w:p>
    <w:p w14:paraId="59058A96" w14:textId="6845DF7E" w:rsidR="00044A15" w:rsidRDefault="00044A15" w:rsidP="00044A15">
      <w:r>
        <w:t>The inputs needed for these calculations shall be:</w:t>
      </w:r>
    </w:p>
    <w:p w14:paraId="5B9BD204" w14:textId="7DDF09A6" w:rsidR="00044A15" w:rsidRDefault="00044A15" w:rsidP="00632FF6">
      <w:pPr>
        <w:pStyle w:val="ListParagraph"/>
        <w:numPr>
          <w:ilvl w:val="0"/>
          <w:numId w:val="71"/>
        </w:numPr>
      </w:pPr>
      <w:r>
        <w:t>Results of the Accounting Process: v</w:t>
      </w:r>
      <w:r w:rsidRPr="007F47C3">
        <w:t xml:space="preserve">olumes of </w:t>
      </w:r>
      <w:r>
        <w:t>FCP Energy, RP Energy and Unintended Exchange for each LFC Area or Block</w:t>
      </w:r>
    </w:p>
    <w:p w14:paraId="0C40D19F" w14:textId="1A4B3CAC" w:rsidR="00044A15" w:rsidRDefault="009811C0" w:rsidP="00632FF6">
      <w:pPr>
        <w:pStyle w:val="ListParagraph"/>
        <w:numPr>
          <w:ilvl w:val="0"/>
          <w:numId w:val="71"/>
        </w:numPr>
      </w:pPr>
      <w:r>
        <w:t>Day-Ahead Market Prices (DAMPs)</w:t>
      </w:r>
      <w:r w:rsidR="00044A15">
        <w:t xml:space="preserve"> per LFC Block</w:t>
      </w:r>
    </w:p>
    <w:p w14:paraId="225FEB4F" w14:textId="53D1D82C" w:rsidR="008D0660" w:rsidRPr="008D0660" w:rsidRDefault="00044A15" w:rsidP="00632FF6">
      <w:pPr>
        <w:pStyle w:val="Heading3"/>
      </w:pPr>
      <w:bookmarkStart w:id="92" w:name="_Toc107495740"/>
      <w:r>
        <w:t>Workflow of settlement process</w:t>
      </w:r>
      <w:bookmarkEnd w:id="92"/>
    </w:p>
    <w:p w14:paraId="0F6C8AF3" w14:textId="13DB31FE" w:rsidR="00044A15" w:rsidRDefault="00044A15" w:rsidP="00632FF6">
      <w:pPr>
        <w:pStyle w:val="Heading4"/>
      </w:pPr>
      <w:bookmarkStart w:id="93" w:name="_Ref75847453"/>
      <w:r>
        <w:t>Inputs</w:t>
      </w:r>
      <w:bookmarkEnd w:id="93"/>
    </w:p>
    <w:p w14:paraId="4953F828" w14:textId="3E1740EA" w:rsidR="00044A15" w:rsidRDefault="00044A15" w:rsidP="00632FF6">
      <w:pPr>
        <w:spacing w:after="160" w:line="259" w:lineRule="auto"/>
        <w:jc w:val="left"/>
      </w:pPr>
      <w:r w:rsidRPr="0EFB0128">
        <w:t xml:space="preserve">All LFC operators send their </w:t>
      </w:r>
      <w:r w:rsidRPr="009E0E53">
        <w:rPr>
          <w:b/>
          <w:bCs/>
        </w:rPr>
        <w:t>DAMP</w:t>
      </w:r>
      <w:r>
        <w:t xml:space="preserve"> (</w:t>
      </w:r>
      <w:r w:rsidR="009811C0">
        <w:t>Day-Ahead Market Prices (DAMPs)</w:t>
      </w:r>
      <w:r>
        <w:t>)</w:t>
      </w:r>
      <w:r w:rsidRPr="0EFB0128">
        <w:t xml:space="preserve"> per LFC </w:t>
      </w:r>
      <w:r w:rsidR="00A87A5A">
        <w:t xml:space="preserve">area or </w:t>
      </w:r>
      <w:r w:rsidRPr="0EFB0128">
        <w:t xml:space="preserve">block to their </w:t>
      </w:r>
      <w:r w:rsidR="002E2691">
        <w:t>Coordination</w:t>
      </w:r>
      <w:r w:rsidR="008D666C">
        <w:t xml:space="preserve"> Centre</w:t>
      </w:r>
      <w:r>
        <w:t>s</w:t>
      </w:r>
      <w:r w:rsidR="00246E74">
        <w:t xml:space="preserve"> which are responsible for t</w:t>
      </w:r>
      <w:r>
        <w:t>he d</w:t>
      </w:r>
      <w:r w:rsidRPr="007F47C3">
        <w:t>etermination of DAMP for individual LFC blocks</w:t>
      </w:r>
      <w:r w:rsidR="00246E74">
        <w:t xml:space="preserve"> according to the following rules</w:t>
      </w:r>
      <w:r w:rsidRPr="007F47C3">
        <w:t>:</w:t>
      </w:r>
    </w:p>
    <w:p w14:paraId="3563E009" w14:textId="77777777" w:rsidR="00044A15" w:rsidRPr="007F47C3" w:rsidRDefault="00044A15" w:rsidP="00044A15">
      <w:pPr>
        <w:spacing w:after="160" w:line="259" w:lineRule="auto"/>
        <w:jc w:val="left"/>
      </w:pPr>
    </w:p>
    <w:tbl>
      <w:tblPr>
        <w:tblStyle w:val="TableGrid"/>
        <w:tblW w:w="9342" w:type="dxa"/>
        <w:tblLook w:val="04A0" w:firstRow="1" w:lastRow="0" w:firstColumn="1" w:lastColumn="0" w:noHBand="0" w:noVBand="1"/>
      </w:tblPr>
      <w:tblGrid>
        <w:gridCol w:w="2547"/>
        <w:gridCol w:w="6795"/>
      </w:tblGrid>
      <w:tr w:rsidR="00044A15" w:rsidRPr="007F47C3" w14:paraId="383BD941" w14:textId="77777777" w:rsidTr="00F90511">
        <w:trPr>
          <w:trHeight w:val="266"/>
        </w:trPr>
        <w:tc>
          <w:tcPr>
            <w:tcW w:w="2547" w:type="dxa"/>
          </w:tcPr>
          <w:p w14:paraId="53969A60" w14:textId="77777777" w:rsidR="00044A15" w:rsidRPr="00F90511" w:rsidRDefault="00044A15">
            <w:pPr>
              <w:pStyle w:val="ListParagraph"/>
              <w:tabs>
                <w:tab w:val="center" w:pos="1977"/>
              </w:tabs>
              <w:ind w:left="0"/>
              <w:jc w:val="center"/>
              <w:rPr>
                <w:b/>
              </w:rPr>
            </w:pPr>
            <w:r w:rsidRPr="009E0E53">
              <w:rPr>
                <w:b/>
                <w:bCs/>
              </w:rPr>
              <w:t>LFC block</w:t>
            </w:r>
          </w:p>
        </w:tc>
        <w:tc>
          <w:tcPr>
            <w:tcW w:w="6795" w:type="dxa"/>
          </w:tcPr>
          <w:p w14:paraId="53AD3E4C" w14:textId="77777777" w:rsidR="00044A15" w:rsidRPr="00263072" w:rsidRDefault="00044A15">
            <w:pPr>
              <w:pStyle w:val="ListParagraph"/>
              <w:ind w:left="0"/>
              <w:jc w:val="center"/>
            </w:pPr>
            <w:r w:rsidRPr="009E0E53">
              <w:rPr>
                <w:b/>
                <w:bCs/>
              </w:rPr>
              <w:t>DAMP determination method</w:t>
            </w:r>
          </w:p>
        </w:tc>
      </w:tr>
      <w:tr w:rsidR="00044A15" w:rsidRPr="002568CF" w14:paraId="5B920FDA" w14:textId="77777777" w:rsidTr="00F90511">
        <w:trPr>
          <w:trHeight w:val="532"/>
        </w:trPr>
        <w:tc>
          <w:tcPr>
            <w:tcW w:w="2547" w:type="dxa"/>
          </w:tcPr>
          <w:p w14:paraId="6B0A5ED0" w14:textId="74FC5C04" w:rsidR="00044A15" w:rsidRPr="00791576" w:rsidRDefault="00044A15" w:rsidP="008D0660">
            <w:pPr>
              <w:pStyle w:val="ListParagraph"/>
              <w:ind w:left="0"/>
            </w:pPr>
            <w:r>
              <w:t>AT</w:t>
            </w:r>
            <w:r w:rsidRPr="00791576">
              <w:t>, BE, BG, CH, CZ, ES, FR, GR, HU, NL, PT, RO, SK</w:t>
            </w:r>
            <w:r w:rsidR="000C5EE6">
              <w:t>, PL</w:t>
            </w:r>
          </w:p>
        </w:tc>
        <w:tc>
          <w:tcPr>
            <w:tcW w:w="6795" w:type="dxa"/>
          </w:tcPr>
          <w:p w14:paraId="07E4475B" w14:textId="77777777" w:rsidR="00044A15" w:rsidRPr="007F47C3" w:rsidRDefault="00044A15" w:rsidP="008D0660">
            <w:pPr>
              <w:pStyle w:val="ListParagraph"/>
              <w:ind w:left="0"/>
            </w:pPr>
            <w:r>
              <w:t>The c</w:t>
            </w:r>
            <w:r w:rsidRPr="007F47C3">
              <w:t>orresponding bidding zone DAMP</w:t>
            </w:r>
            <w:r>
              <w:t xml:space="preserve"> is used.</w:t>
            </w:r>
          </w:p>
        </w:tc>
      </w:tr>
      <w:tr w:rsidR="00044A15" w:rsidRPr="007F47C3" w14:paraId="5F794376" w14:textId="77777777" w:rsidTr="00F90511">
        <w:trPr>
          <w:trHeight w:val="956"/>
        </w:trPr>
        <w:tc>
          <w:tcPr>
            <w:tcW w:w="2547" w:type="dxa"/>
          </w:tcPr>
          <w:p w14:paraId="0D76F4F7" w14:textId="77777777" w:rsidR="00044A15" w:rsidRPr="00791576" w:rsidRDefault="00044A15" w:rsidP="008D0660">
            <w:pPr>
              <w:pStyle w:val="ListParagraph"/>
              <w:ind w:left="0"/>
            </w:pPr>
            <w:r>
              <w:t>DE-LU-DKW</w:t>
            </w:r>
          </w:p>
        </w:tc>
        <w:tc>
          <w:tcPr>
            <w:tcW w:w="6795" w:type="dxa"/>
            <w:vAlign w:val="bottom"/>
          </w:tcPr>
          <w:p w14:paraId="27A0683F" w14:textId="77777777" w:rsidR="00044A15" w:rsidRPr="00DC0207" w:rsidRDefault="00044A15" w:rsidP="008D0660">
            <w:pPr>
              <w:pStyle w:val="textregular"/>
              <w:jc w:val="center"/>
              <w:rPr>
                <w:sz w:val="20"/>
              </w:rPr>
            </w:pPr>
            <m:oMathPara>
              <m:oMathParaPr>
                <m:jc m:val="center"/>
              </m:oMathParaPr>
              <m:oMath>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DE-DKW</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DE</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DE</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DK</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DKW</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DE</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DKW</m:t>
                        </m:r>
                      </m:sub>
                    </m:sSub>
                  </m:den>
                </m:f>
              </m:oMath>
            </m:oMathPara>
          </w:p>
          <w:p w14:paraId="4FCBFB6C" w14:textId="77777777" w:rsidR="00044A15" w:rsidRPr="007F47C3" w:rsidRDefault="00044A15" w:rsidP="008D0660">
            <w:pPr>
              <w:pStyle w:val="ListParagraph"/>
              <w:ind w:left="0"/>
            </w:pPr>
            <w:r>
              <w:t>Under the assumption that DK-West is an LFC area by the time of FSkar introduction. Otherwise, DK-West is not considered in the FSkar settlement.</w:t>
            </w:r>
          </w:p>
        </w:tc>
      </w:tr>
      <w:tr w:rsidR="00044A15" w:rsidRPr="002568CF" w14:paraId="7852CACA" w14:textId="77777777" w:rsidTr="00F90511">
        <w:trPr>
          <w:trHeight w:val="266"/>
        </w:trPr>
        <w:tc>
          <w:tcPr>
            <w:tcW w:w="2547" w:type="dxa"/>
          </w:tcPr>
          <w:p w14:paraId="4A1DEEEB" w14:textId="77777777" w:rsidR="00044A15" w:rsidRPr="00791576" w:rsidRDefault="00044A15" w:rsidP="008D0660">
            <w:r w:rsidRPr="00791576">
              <w:t>SMM</w:t>
            </w:r>
          </w:p>
        </w:tc>
        <w:tc>
          <w:tcPr>
            <w:tcW w:w="6795" w:type="dxa"/>
          </w:tcPr>
          <w:p w14:paraId="79637A2B" w14:textId="77777777" w:rsidR="00044A15" w:rsidRPr="007F47C3" w:rsidRDefault="00044A15" w:rsidP="008D0660">
            <w:pPr>
              <w:pStyle w:val="ListParagraph"/>
              <w:ind w:left="0"/>
            </w:pPr>
            <w:r>
              <w:t>Only the DAMP from bidding zone RS (Serbia - EMS) is considered.</w:t>
            </w:r>
          </w:p>
        </w:tc>
      </w:tr>
      <w:tr w:rsidR="00044A15" w:rsidRPr="002568CF" w14:paraId="2B44BA2B" w14:textId="77777777" w:rsidTr="00F90511">
        <w:trPr>
          <w:trHeight w:val="266"/>
        </w:trPr>
        <w:tc>
          <w:tcPr>
            <w:tcW w:w="2547" w:type="dxa"/>
          </w:tcPr>
          <w:p w14:paraId="1B3A9B4D" w14:textId="2407A3F3" w:rsidR="00044A15" w:rsidRPr="00791576" w:rsidRDefault="000C5EE6" w:rsidP="008D0660">
            <w:r w:rsidRPr="000C5EE6">
              <w:t>LFC Block UA+MD</w:t>
            </w:r>
          </w:p>
        </w:tc>
        <w:tc>
          <w:tcPr>
            <w:tcW w:w="6795" w:type="dxa"/>
          </w:tcPr>
          <w:p w14:paraId="32648C73" w14:textId="638B8E3E" w:rsidR="00044A15" w:rsidRPr="007F47C3" w:rsidRDefault="00044A15" w:rsidP="008D0660">
            <w:pPr>
              <w:pStyle w:val="textregular"/>
              <w:jc w:val="left"/>
              <w:rPr>
                <w:rFonts w:ascii="Cambria Math" w:hAnsi="Cambria Math"/>
                <w:i/>
                <w:sz w:val="20"/>
              </w:rPr>
            </w:pPr>
            <m:oMathPara>
              <m:oMath>
                <m:r>
                  <m:rPr>
                    <m:sty m:val="p"/>
                  </m:rPr>
                  <w:rPr>
                    <w:rFonts w:ascii="Cambria Math" w:hAnsi="Cambria Math"/>
                    <w:sz w:val="20"/>
                  </w:rPr>
                  <w:br/>
                </m:r>
              </m:oMath>
              <m:oMath>
                <m:r>
                  <w:rPr>
                    <w:rFonts w:ascii="Cambria Math" w:eastAsia="SimSun" w:hAnsi="Cambria Math"/>
                    <w:color w:val="000000"/>
                    <w:sz w:val="20"/>
                  </w:rPr>
                  <m:t>DAM</m:t>
                </m:r>
                <m:sSub>
                  <m:sSubPr>
                    <m:ctrlPr>
                      <w:rPr>
                        <w:rFonts w:ascii="Cambria Math" w:eastAsia="SimSun" w:hAnsi="Cambria Math"/>
                        <w:i/>
                        <w:color w:val="000000"/>
                      </w:rPr>
                    </m:ctrlPr>
                  </m:sSubPr>
                  <m:e>
                    <m:r>
                      <w:rPr>
                        <w:rFonts w:ascii="Cambria Math" w:eastAsia="SimSun" w:hAnsi="Cambria Math"/>
                        <w:color w:val="000000"/>
                        <w:sz w:val="20"/>
                      </w:rPr>
                      <m:t>P</m:t>
                    </m:r>
                  </m:e>
                  <m:sub>
                    <m:r>
                      <w:rPr>
                        <w:rFonts w:ascii="Cambria Math" w:eastAsia="SimSun" w:hAnsi="Cambria Math"/>
                        <w:color w:val="000000"/>
                        <w:sz w:val="20"/>
                      </w:rPr>
                      <m:t>UA+MD</m:t>
                    </m:r>
                  </m:sub>
                </m:sSub>
                <m:r>
                  <w:rPr>
                    <w:rFonts w:ascii="Cambria Math" w:eastAsia="SimSun" w:hAnsi="Cambria Math"/>
                    <w:color w:val="000000"/>
                    <w:sz w:val="20"/>
                  </w:rPr>
                  <m:t>=DAM</m:t>
                </m:r>
                <m:sSub>
                  <m:sSubPr>
                    <m:ctrlPr>
                      <w:rPr>
                        <w:rFonts w:ascii="Cambria Math" w:eastAsia="SimSun" w:hAnsi="Cambria Math"/>
                        <w:i/>
                        <w:color w:val="000000"/>
                      </w:rPr>
                    </m:ctrlPr>
                  </m:sSubPr>
                  <m:e>
                    <m:r>
                      <w:rPr>
                        <w:rFonts w:ascii="Cambria Math" w:eastAsia="SimSun" w:hAnsi="Cambria Math"/>
                        <w:color w:val="000000"/>
                        <w:sz w:val="20"/>
                      </w:rPr>
                      <m:t>P</m:t>
                    </m:r>
                  </m:e>
                  <m:sub>
                    <m:r>
                      <w:rPr>
                        <w:rFonts w:ascii="Cambria Math" w:eastAsia="SimSun" w:hAnsi="Cambria Math"/>
                        <w:color w:val="000000"/>
                        <w:sz w:val="20"/>
                      </w:rPr>
                      <m:t>UA, IPS</m:t>
                    </m:r>
                  </m:sub>
                </m:sSub>
              </m:oMath>
            </m:oMathPara>
          </w:p>
          <w:p w14:paraId="566CE973" w14:textId="77777777" w:rsidR="00044A15" w:rsidRPr="006825FC" w:rsidRDefault="00044A15" w:rsidP="008D0660">
            <w:pPr>
              <w:pStyle w:val="ListParagraph"/>
              <w:ind w:left="0"/>
              <w:rPr>
                <w:rFonts w:ascii="Calibri" w:eastAsia="Calibri" w:hAnsi="Calibri"/>
                <w:sz w:val="20"/>
                <w:lang w:val="en-US"/>
              </w:rPr>
            </w:pPr>
          </w:p>
        </w:tc>
      </w:tr>
      <w:tr w:rsidR="00044A15" w:rsidRPr="007F47C3" w14:paraId="65812F79" w14:textId="77777777" w:rsidTr="00F90511">
        <w:trPr>
          <w:trHeight w:val="266"/>
        </w:trPr>
        <w:tc>
          <w:tcPr>
            <w:tcW w:w="2547" w:type="dxa"/>
          </w:tcPr>
          <w:p w14:paraId="06A6D1DA" w14:textId="77777777" w:rsidR="00044A15" w:rsidRPr="007F47C3" w:rsidRDefault="00044A15" w:rsidP="008D0660">
            <w:r w:rsidRPr="007F47C3">
              <w:t>SHB</w:t>
            </w:r>
          </w:p>
        </w:tc>
        <w:tc>
          <w:tcPr>
            <w:tcW w:w="6795" w:type="dxa"/>
          </w:tcPr>
          <w:p w14:paraId="48CD3D96" w14:textId="77777777" w:rsidR="00044A15" w:rsidRPr="006A1235" w:rsidRDefault="00044A15" w:rsidP="008D0660">
            <w:pPr>
              <w:pStyle w:val="textregular"/>
              <w:jc w:val="left"/>
              <w:rPr>
                <w:rFonts w:ascii="Cambria Math" w:hAnsi="Cambria Math"/>
                <w:i/>
                <w:sz w:val="20"/>
              </w:rPr>
            </w:pPr>
            <m:oMathPara>
              <m:oMathParaPr>
                <m:jc m:val="center"/>
              </m:oMathParaPr>
              <m:oMath>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SHB</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SI</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SI</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HR</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HR</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SI</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HR</m:t>
                        </m:r>
                      </m:sub>
                    </m:sSub>
                  </m:den>
                </m:f>
              </m:oMath>
            </m:oMathPara>
          </w:p>
          <w:p w14:paraId="04C06F79" w14:textId="77777777" w:rsidR="00044A15" w:rsidRPr="007F47C3" w:rsidRDefault="00044A15" w:rsidP="008D0660">
            <w:pPr>
              <w:pStyle w:val="ListParagraph"/>
              <w:ind w:left="0"/>
            </w:pPr>
          </w:p>
        </w:tc>
      </w:tr>
      <w:tr w:rsidR="00044A15" w:rsidRPr="002568CF" w14:paraId="76CC30D3" w14:textId="77777777" w:rsidTr="00F90511">
        <w:trPr>
          <w:trHeight w:val="266"/>
        </w:trPr>
        <w:tc>
          <w:tcPr>
            <w:tcW w:w="2547" w:type="dxa"/>
          </w:tcPr>
          <w:p w14:paraId="28072FD7" w14:textId="77777777" w:rsidR="00044A15" w:rsidRPr="007F47C3" w:rsidRDefault="00044A15" w:rsidP="008D0660">
            <w:r w:rsidRPr="007F47C3">
              <w:t>AL</w:t>
            </w:r>
          </w:p>
        </w:tc>
        <w:tc>
          <w:tcPr>
            <w:tcW w:w="6795" w:type="dxa"/>
          </w:tcPr>
          <w:p w14:paraId="36C320C0" w14:textId="2DAB7E0E" w:rsidR="00044A15" w:rsidRPr="007F47C3" w:rsidRDefault="00044A15" w:rsidP="008D0660">
            <w:pPr>
              <w:pStyle w:val="ListParagraph"/>
              <w:ind w:left="0"/>
            </w:pPr>
            <w:r>
              <w:t xml:space="preserve">Imbalance settlement price of the LFC Block is used instead of a </w:t>
            </w:r>
            <w:r w:rsidR="009811C0">
              <w:t>Day-Ahead Market Price (DAMP)</w:t>
            </w:r>
            <w:r>
              <w:t xml:space="preserve">. </w:t>
            </w:r>
          </w:p>
        </w:tc>
      </w:tr>
      <w:tr w:rsidR="00044A15" w:rsidRPr="002568CF" w14:paraId="2D96997A" w14:textId="77777777" w:rsidTr="00F90511">
        <w:trPr>
          <w:trHeight w:val="266"/>
        </w:trPr>
        <w:tc>
          <w:tcPr>
            <w:tcW w:w="2547" w:type="dxa"/>
          </w:tcPr>
          <w:p w14:paraId="127A0F02" w14:textId="77777777" w:rsidR="00044A15" w:rsidRPr="007F47C3" w:rsidRDefault="00044A15" w:rsidP="008D0660">
            <w:r w:rsidRPr="007F47C3">
              <w:t>IT</w:t>
            </w:r>
          </w:p>
        </w:tc>
        <w:tc>
          <w:tcPr>
            <w:tcW w:w="6795" w:type="dxa"/>
          </w:tcPr>
          <w:p w14:paraId="6F9E790B" w14:textId="77777777" w:rsidR="00044A15" w:rsidRPr="007F47C3" w:rsidRDefault="00044A15" w:rsidP="008D0660">
            <w:pPr>
              <w:pStyle w:val="ListParagraph"/>
              <w:ind w:left="0"/>
            </w:pPr>
            <w:r>
              <w:t>The DAMP of the BZ bordering with the rest of the SA is used. This means IT-North</w:t>
            </w:r>
          </w:p>
        </w:tc>
      </w:tr>
    </w:tbl>
    <w:p w14:paraId="0531B0F9" w14:textId="77777777" w:rsidR="00511227" w:rsidRPr="002568CF" w:rsidRDefault="00511227" w:rsidP="00511227">
      <w:pPr>
        <w:rPr>
          <w:rStyle w:val="Strong"/>
          <w:b w:val="0"/>
          <w:bCs w:val="0"/>
          <w:lang w:val="en-US"/>
        </w:rPr>
      </w:pPr>
    </w:p>
    <w:p w14:paraId="7A1D0E6F" w14:textId="71BDEAD3" w:rsidR="00810D05" w:rsidRDefault="00044A15" w:rsidP="00632FF6">
      <w:pPr>
        <w:pStyle w:val="Heading4"/>
      </w:pPr>
      <w:r>
        <w:lastRenderedPageBreak/>
        <w:t>Outputs</w:t>
      </w:r>
    </w:p>
    <w:p w14:paraId="5D215B04" w14:textId="22FB562A" w:rsidR="00044A15" w:rsidRPr="00632FF6" w:rsidRDefault="00044A15" w:rsidP="00955A4E">
      <w:pPr>
        <w:rPr>
          <w:rStyle w:val="Strong"/>
        </w:rPr>
      </w:pPr>
      <w:r>
        <w:rPr>
          <w:rStyle w:val="Strong"/>
        </w:rPr>
        <w:t>Settlement prices</w:t>
      </w:r>
    </w:p>
    <w:p w14:paraId="47BFC171" w14:textId="1D22333E" w:rsidR="00511227" w:rsidRPr="00955A4E" w:rsidRDefault="00511227" w:rsidP="00955A4E">
      <w:pPr>
        <w:rPr>
          <w:lang w:val="en-US"/>
        </w:rPr>
      </w:pPr>
      <w:r w:rsidRPr="00955A4E">
        <w:rPr>
          <w:lang w:val="en-US"/>
        </w:rPr>
        <w:t>The calculation of settlement prices for FCP</w:t>
      </w:r>
      <w:r w:rsidR="00044A15">
        <w:rPr>
          <w:lang w:val="en-US"/>
        </w:rPr>
        <w:t xml:space="preserve"> Energy</w:t>
      </w:r>
      <w:r w:rsidRPr="00955A4E">
        <w:rPr>
          <w:lang w:val="en-US"/>
        </w:rPr>
        <w:t xml:space="preserve"> and UE </w:t>
      </w:r>
      <w:r w:rsidR="00044A15">
        <w:rPr>
          <w:lang w:val="en-US"/>
        </w:rPr>
        <w:t>Energy</w:t>
      </w:r>
      <w:r w:rsidRPr="00955A4E">
        <w:rPr>
          <w:lang w:val="en-US"/>
        </w:rPr>
        <w:t xml:space="preserve"> is carried out by the </w:t>
      </w:r>
      <w:r w:rsidR="002E2691">
        <w:rPr>
          <w:lang w:val="en-US"/>
        </w:rPr>
        <w:t>Coordination</w:t>
      </w:r>
      <w:r w:rsidR="008D666C">
        <w:rPr>
          <w:lang w:val="en-US"/>
        </w:rPr>
        <w:t xml:space="preserve"> Centre</w:t>
      </w:r>
      <w:r w:rsidR="000755B5">
        <w:rPr>
          <w:lang w:val="en-US"/>
        </w:rPr>
        <w:t>s</w:t>
      </w:r>
      <w:r w:rsidRPr="00955A4E">
        <w:rPr>
          <w:lang w:val="en-US"/>
        </w:rPr>
        <w:t xml:space="preserve">. </w:t>
      </w:r>
    </w:p>
    <w:p w14:paraId="2D91DE5E" w14:textId="77777777" w:rsidR="00511227" w:rsidRDefault="00511227" w:rsidP="00511227">
      <w:pPr>
        <w:pStyle w:val="ListParagraph"/>
        <w:ind w:left="0"/>
      </w:pPr>
      <w:r>
        <w:t>The price for RP energy is 0 €/MWh.</w:t>
      </w:r>
    </w:p>
    <w:p w14:paraId="500C922A" w14:textId="77777777" w:rsidR="00511227" w:rsidRDefault="00511227" w:rsidP="00511227">
      <w:pPr>
        <w:pStyle w:val="ListParagraph"/>
        <w:ind w:left="0"/>
      </w:pPr>
    </w:p>
    <w:p w14:paraId="0D50432E" w14:textId="6AC3113D" w:rsidR="00511227" w:rsidRDefault="00511227" w:rsidP="00511227">
      <w:pPr>
        <w:pStyle w:val="ListParagraph"/>
        <w:ind w:left="0"/>
      </w:pPr>
      <w:r>
        <w:t xml:space="preserve">The price for FCP </w:t>
      </w:r>
      <w:r w:rsidR="00044A15">
        <w:t>E</w:t>
      </w:r>
      <w:r>
        <w:t>nergy and UE</w:t>
      </w:r>
      <w:r w:rsidR="00044A15">
        <w:t xml:space="preserve"> Energy</w:t>
      </w:r>
      <w:r>
        <w:t xml:space="preserve"> are the same and calculated as follows:</w:t>
      </w:r>
    </w:p>
    <w:p w14:paraId="5B2E0118" w14:textId="71D7218F" w:rsidR="00511227" w:rsidRPr="00447DC8" w:rsidRDefault="00511227" w:rsidP="006A1235">
      <w:pPr>
        <w:pStyle w:val="ListParagraph"/>
        <w:numPr>
          <w:ilvl w:val="0"/>
          <w:numId w:val="14"/>
        </w:numPr>
        <w:spacing w:after="160" w:line="259" w:lineRule="auto"/>
      </w:pPr>
      <w:r w:rsidRPr="007F47C3">
        <w:t>Frequency – independent compon</w:t>
      </w:r>
      <w:r>
        <w:t xml:space="preserve">ent is calculated as </w:t>
      </w:r>
      <w:r w:rsidR="00044A15">
        <w:t xml:space="preserve">a weighted average of the DAMP across CE, with weighting performed according to the absolute value of the volumes of FCP Energy and UE Energy, as </w:t>
      </w:r>
      <w:r>
        <w:t xml:space="preserve">follows, where m is </w:t>
      </w:r>
      <w:r w:rsidR="00044A15">
        <w:t>an</w:t>
      </w:r>
      <w:r>
        <w:t xml:space="preserve"> index running over all LFC blocks</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Price</m:t>
              </m:r>
            </m:e>
            <m:sub>
              <m:r>
                <w:rPr>
                  <w:rFonts w:ascii="Cambria Math" w:hAnsi="Cambria Math"/>
                </w:rPr>
                <m:t>ref</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m</m:t>
                  </m:r>
                </m:sub>
                <m:sup/>
                <m:e>
                  <m:r>
                    <w:rPr>
                      <w:rFonts w:ascii="Cambria Math" w:hAnsi="Cambria Math"/>
                    </w:rPr>
                    <m:t>DAM</m:t>
                  </m:r>
                  <m:sSub>
                    <m:sSubPr>
                      <m:ctrlPr>
                        <w:rPr>
                          <w:rFonts w:ascii="Cambria Math" w:hAnsi="Cambria Math"/>
                          <w:i/>
                        </w:rPr>
                      </m:ctrlPr>
                    </m:sSubPr>
                    <m:e>
                      <m:r>
                        <w:rPr>
                          <w:rFonts w:ascii="Cambria Math" w:hAnsi="Cambria Math"/>
                        </w:rPr>
                        <m:t>P</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ue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FCP</m:t>
                                  </m:r>
                                </m:sub>
                              </m:sSub>
                            </m:e>
                          </m:d>
                        </m:e>
                      </m:d>
                    </m:e>
                    <m:sub>
                      <m:r>
                        <w:rPr>
                          <w:rFonts w:ascii="Cambria Math" w:hAnsi="Cambria Math"/>
                        </w:rPr>
                        <m:t>m</m:t>
                      </m:r>
                    </m:sub>
                  </m:sSub>
                  <m:r>
                    <w:rPr>
                      <w:rFonts w:ascii="Cambria Math" w:hAnsi="Cambria Math"/>
                    </w:rPr>
                    <m:t>(t)</m:t>
                  </m:r>
                </m:e>
              </m:nary>
            </m:num>
            <m:den>
              <m:nary>
                <m:naryPr>
                  <m:chr m:val="∑"/>
                  <m:limLoc m:val="subSup"/>
                  <m:supHide m:val="1"/>
                  <m:ctrlPr>
                    <w:rPr>
                      <w:rFonts w:ascii="Cambria Math" w:hAnsi="Cambria Math"/>
                      <w:i/>
                    </w:rPr>
                  </m:ctrlPr>
                </m:naryPr>
                <m:sub>
                  <m:r>
                    <w:rPr>
                      <w:rFonts w:ascii="Cambria Math" w:hAnsi="Cambria Math"/>
                    </w:rPr>
                    <m:t>m</m:t>
                  </m:r>
                </m:sub>
                <m:sup/>
                <m:e>
                  <m:sSub>
                    <m:sSubPr>
                      <m:ctrlPr>
                        <w:rPr>
                          <w:rFonts w:ascii="Cambria Math" w:hAnsi="Cambria Math"/>
                          <w:i/>
                        </w:rPr>
                      </m:ctrlPr>
                    </m:sSubPr>
                    <m:e>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ue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FCP</m:t>
                                  </m:r>
                                </m:sub>
                              </m:sSub>
                            </m:e>
                          </m:d>
                        </m:e>
                      </m:d>
                    </m:e>
                    <m:sub>
                      <m:r>
                        <w:rPr>
                          <w:rFonts w:ascii="Cambria Math" w:hAnsi="Cambria Math"/>
                        </w:rPr>
                        <m:t>m</m:t>
                      </m:r>
                    </m:sub>
                  </m:sSub>
                  <m:r>
                    <w:rPr>
                      <w:rFonts w:ascii="Cambria Math" w:hAnsi="Cambria Math"/>
                    </w:rPr>
                    <m:t>(t)</m:t>
                  </m:r>
                </m:e>
              </m:nary>
            </m:den>
          </m:f>
        </m:oMath>
      </m:oMathPara>
    </w:p>
    <w:p w14:paraId="0EECD734" w14:textId="57B6210E" w:rsidR="00511227" w:rsidRDefault="00511227" w:rsidP="00511227">
      <w:pPr>
        <w:pStyle w:val="ListParagraph"/>
        <w:ind w:left="0"/>
      </w:pPr>
    </w:p>
    <w:p w14:paraId="2F08A56E" w14:textId="77777777" w:rsidR="00511227" w:rsidRPr="007F47C3" w:rsidRDefault="00511227" w:rsidP="00511227">
      <w:pPr>
        <w:pStyle w:val="ListParagraph"/>
        <w:numPr>
          <w:ilvl w:val="0"/>
          <w:numId w:val="14"/>
        </w:numPr>
        <w:spacing w:after="160" w:line="259" w:lineRule="auto"/>
        <w:jc w:val="left"/>
      </w:pPr>
      <w:r w:rsidRPr="007F47C3">
        <w:t>Frequency – dependent component calculated as follows:</w:t>
      </w:r>
    </w:p>
    <w:p w14:paraId="79BF47FF" w14:textId="77777777" w:rsidR="00511227" w:rsidRDefault="00511227" w:rsidP="00B21E31">
      <m:oMathPara>
        <m:oMath>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UE,FCP</m:t>
              </m:r>
            </m:sub>
          </m:sSub>
          <m:d>
            <m:dPr>
              <m:ctrlPr>
                <w:rPr>
                  <w:rFonts w:ascii="Cambria Math" w:hAnsi="Cambria Math"/>
                  <w:i/>
                  <w:sz w:val="20"/>
                </w:rPr>
              </m:ctrlPr>
            </m:dPr>
            <m:e>
              <m:r>
                <w:rPr>
                  <w:rFonts w:ascii="Cambria Math" w:hAnsi="Cambria Math"/>
                  <w:sz w:val="20"/>
                </w:rPr>
                <m:t>t</m:t>
              </m:r>
            </m:e>
          </m:d>
          <m:r>
            <w:rPr>
              <w:rFonts w:ascii="Cambria Math" w:hAnsi="Cambria Math"/>
              <w:sz w:val="20"/>
            </w:rPr>
            <m:t>=</m:t>
          </m:r>
          <m:d>
            <m:dPr>
              <m:begChr m:val="{"/>
              <m:endChr m:val=""/>
              <m:ctrlPr>
                <w:rPr>
                  <w:rFonts w:ascii="Cambria Math" w:hAnsi="Cambria Math"/>
                  <w:i/>
                  <w:sz w:val="20"/>
                </w:rPr>
              </m:ctrlPr>
            </m:dPr>
            <m:e>
              <m:m>
                <m:mPr>
                  <m:cGpRule m:val="2"/>
                  <m:mcs>
                    <m:mc>
                      <m:mcPr>
                        <m:count m:val="2"/>
                        <m:mcJc m:val="center"/>
                      </m:mcPr>
                    </m:mc>
                  </m:mcs>
                  <m:ctrlPr>
                    <w:rPr>
                      <w:rFonts w:ascii="Cambria Math" w:hAnsi="Cambria Math"/>
                      <w:i/>
                      <w:sz w:val="20"/>
                    </w:rPr>
                  </m:ctrlPr>
                </m:mPr>
                <m:mr>
                  <m:e>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ref</m:t>
                        </m:r>
                      </m:sub>
                    </m:sSub>
                    <m:d>
                      <m:dPr>
                        <m:ctrlPr>
                          <w:rPr>
                            <w:rFonts w:ascii="Cambria Math" w:hAnsi="Cambria Math"/>
                            <w:i/>
                            <w:sz w:val="20"/>
                          </w:rPr>
                        </m:ctrlPr>
                      </m:dPr>
                      <m:e>
                        <m:r>
                          <w:rPr>
                            <w:rFonts w:ascii="Cambria Math" w:hAnsi="Cambria Math"/>
                            <w:sz w:val="20"/>
                          </w:rPr>
                          <m:t>t</m:t>
                        </m:r>
                      </m:e>
                    </m:d>
                    <m:r>
                      <w:rPr>
                        <w:rFonts w:ascii="Cambria Math" w:hAnsi="Cambria Math"/>
                        <w:sz w:val="20"/>
                      </w:rPr>
                      <m:t>-2 €/mHz *(-100 mHz+20 mHz)</m:t>
                    </m:r>
                  </m:e>
                  <m:e>
                    <m:r>
                      <w:rPr>
                        <w:rFonts w:ascii="Cambria Math" w:hAnsi="Cambria Math"/>
                        <w:sz w:val="20"/>
                      </w:rPr>
                      <m:t>∆f</m:t>
                    </m:r>
                    <m:d>
                      <m:dPr>
                        <m:ctrlPr>
                          <w:rPr>
                            <w:rFonts w:ascii="Cambria Math" w:hAnsi="Cambria Math"/>
                            <w:i/>
                            <w:sz w:val="20"/>
                          </w:rPr>
                        </m:ctrlPr>
                      </m:dPr>
                      <m:e>
                        <m:r>
                          <w:rPr>
                            <w:rFonts w:ascii="Cambria Math" w:hAnsi="Cambria Math"/>
                            <w:sz w:val="20"/>
                          </w:rPr>
                          <m:t>t</m:t>
                        </m:r>
                      </m:e>
                    </m:d>
                    <m:r>
                      <w:rPr>
                        <w:rFonts w:ascii="Cambria Math" w:hAnsi="Cambria Math"/>
                        <w:sz w:val="20"/>
                      </w:rPr>
                      <m:t>&lt;-100 mHz</m:t>
                    </m:r>
                  </m:e>
                </m:mr>
                <m:mr>
                  <m:e>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ref</m:t>
                        </m:r>
                      </m:sub>
                    </m:sSub>
                    <m:d>
                      <m:dPr>
                        <m:ctrlPr>
                          <w:rPr>
                            <w:rFonts w:ascii="Cambria Math" w:hAnsi="Cambria Math"/>
                            <w:i/>
                            <w:sz w:val="20"/>
                          </w:rPr>
                        </m:ctrlPr>
                      </m:dPr>
                      <m:e>
                        <m:r>
                          <w:rPr>
                            <w:rFonts w:ascii="Cambria Math" w:hAnsi="Cambria Math"/>
                            <w:sz w:val="20"/>
                          </w:rPr>
                          <m:t>t</m:t>
                        </m:r>
                      </m:e>
                    </m:d>
                    <m:r>
                      <w:rPr>
                        <w:rFonts w:ascii="Cambria Math" w:hAnsi="Cambria Math"/>
                        <w:sz w:val="20"/>
                      </w:rPr>
                      <m:t>-2 €/mHz*(∆f</m:t>
                    </m:r>
                    <m:d>
                      <m:dPr>
                        <m:ctrlPr>
                          <w:rPr>
                            <w:rFonts w:ascii="Cambria Math" w:hAnsi="Cambria Math"/>
                            <w:i/>
                            <w:sz w:val="20"/>
                          </w:rPr>
                        </m:ctrlPr>
                      </m:dPr>
                      <m:e>
                        <m:r>
                          <w:rPr>
                            <w:rFonts w:ascii="Cambria Math" w:hAnsi="Cambria Math"/>
                            <w:sz w:val="20"/>
                          </w:rPr>
                          <m:t>t</m:t>
                        </m:r>
                      </m:e>
                    </m:d>
                    <m:r>
                      <w:rPr>
                        <w:rFonts w:ascii="Cambria Math" w:hAnsi="Cambria Math"/>
                        <w:sz w:val="20"/>
                      </w:rPr>
                      <m:t>+20 mHz)</m:t>
                    </m:r>
                    <m:ctrlPr>
                      <w:rPr>
                        <w:rFonts w:ascii="Cambria Math" w:eastAsia="Cambria Math" w:hAnsi="Cambria Math" w:cs="Cambria Math"/>
                        <w:i/>
                        <w:sz w:val="20"/>
                      </w:rPr>
                    </m:ctrlPr>
                  </m:e>
                  <m:e>
                    <m:r>
                      <w:rPr>
                        <w:rFonts w:ascii="Cambria Math" w:eastAsia="Cambria Math" w:hAnsi="Cambria Math" w:cs="Cambria Math"/>
                        <w:sz w:val="20"/>
                      </w:rPr>
                      <m:t>-100 mHz≤∆f</m:t>
                    </m:r>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&lt;-20 mHz</m:t>
                    </m:r>
                    <m:ctrlPr>
                      <w:rPr>
                        <w:rFonts w:ascii="Cambria Math" w:eastAsia="Cambria Math" w:hAnsi="Cambria Math" w:cs="Cambria Math"/>
                        <w:i/>
                        <w:sz w:val="20"/>
                      </w:rPr>
                    </m:ctrlP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r>
                      <w:rPr>
                        <w:rFonts w:ascii="Cambria Math" w:eastAsia="Cambria Math" w:hAnsi="Cambria Math" w:cs="Cambria Math"/>
                        <w:sz w:val="20"/>
                      </w:rPr>
                      <m:t>(t)</m:t>
                    </m:r>
                    <m:ctrlPr>
                      <w:rPr>
                        <w:rFonts w:ascii="Cambria Math" w:eastAsia="Cambria Math" w:hAnsi="Cambria Math" w:cs="Cambria Math"/>
                        <w:i/>
                        <w:sz w:val="20"/>
                      </w:rPr>
                    </m:ctrlPr>
                  </m:e>
                  <m:e>
                    <m:r>
                      <w:rPr>
                        <w:rFonts w:ascii="Cambria Math" w:eastAsia="Cambria Math" w:hAnsi="Cambria Math" w:cs="Cambria Math"/>
                        <w:sz w:val="20"/>
                      </w:rPr>
                      <m:t>-20 mHz≤∆f</m:t>
                    </m:r>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≤20 mHz</m:t>
                    </m:r>
                    <m:ctrlPr>
                      <w:rPr>
                        <w:rFonts w:ascii="Cambria Math" w:eastAsia="Cambria Math" w:hAnsi="Cambria Math" w:cs="Cambria Math"/>
                        <w:i/>
                        <w:sz w:val="20"/>
                      </w:rPr>
                    </m:ctrlP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m:t>
                    </m:r>
                    <m:r>
                      <w:rPr>
                        <w:rFonts w:ascii="Cambria Math" w:hAnsi="Cambria Math"/>
                        <w:sz w:val="20"/>
                      </w:rPr>
                      <m:t>2 €/mHz*(∆f</m:t>
                    </m:r>
                    <m:d>
                      <m:dPr>
                        <m:ctrlPr>
                          <w:rPr>
                            <w:rFonts w:ascii="Cambria Math" w:hAnsi="Cambria Math"/>
                            <w:i/>
                            <w:sz w:val="20"/>
                          </w:rPr>
                        </m:ctrlPr>
                      </m:dPr>
                      <m:e>
                        <m:r>
                          <w:rPr>
                            <w:rFonts w:ascii="Cambria Math" w:hAnsi="Cambria Math"/>
                            <w:sz w:val="20"/>
                          </w:rPr>
                          <m:t>t</m:t>
                        </m:r>
                      </m:e>
                    </m:d>
                    <m:r>
                      <w:rPr>
                        <w:rFonts w:ascii="Cambria Math" w:hAnsi="Cambria Math"/>
                        <w:sz w:val="20"/>
                      </w:rPr>
                      <m:t>-20 mHz)</m:t>
                    </m:r>
                  </m:e>
                  <m:e>
                    <m:r>
                      <w:rPr>
                        <w:rFonts w:ascii="Cambria Math" w:hAnsi="Cambria Math"/>
                        <w:sz w:val="20"/>
                      </w:rPr>
                      <m:t>20 mHz&lt;∆f</m:t>
                    </m:r>
                    <m:d>
                      <m:dPr>
                        <m:ctrlPr>
                          <w:rPr>
                            <w:rFonts w:ascii="Cambria Math" w:hAnsi="Cambria Math"/>
                            <w:i/>
                            <w:sz w:val="20"/>
                          </w:rPr>
                        </m:ctrlPr>
                      </m:dPr>
                      <m:e>
                        <m:r>
                          <w:rPr>
                            <w:rFonts w:ascii="Cambria Math" w:hAnsi="Cambria Math"/>
                            <w:sz w:val="20"/>
                          </w:rPr>
                          <m:t>t</m:t>
                        </m:r>
                      </m:e>
                    </m:d>
                    <m:r>
                      <w:rPr>
                        <w:rFonts w:ascii="Cambria Math" w:hAnsi="Cambria Math"/>
                        <w:sz w:val="20"/>
                      </w:rPr>
                      <m:t>≤100 mHz</m:t>
                    </m: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m:t>
                    </m:r>
                    <m:r>
                      <w:rPr>
                        <w:rFonts w:ascii="Cambria Math" w:hAnsi="Cambria Math"/>
                        <w:sz w:val="20"/>
                      </w:rPr>
                      <m:t>2 €/mHz*(100 mHz-20 mHz)</m:t>
                    </m:r>
                  </m:e>
                  <m:e>
                    <m:r>
                      <w:rPr>
                        <w:rFonts w:ascii="Cambria Math" w:hAnsi="Cambria Math"/>
                        <w:sz w:val="20"/>
                      </w:rPr>
                      <m:t>∆f</m:t>
                    </m:r>
                    <m:d>
                      <m:dPr>
                        <m:ctrlPr>
                          <w:rPr>
                            <w:rFonts w:ascii="Cambria Math" w:hAnsi="Cambria Math"/>
                            <w:i/>
                            <w:sz w:val="20"/>
                          </w:rPr>
                        </m:ctrlPr>
                      </m:dPr>
                      <m:e>
                        <m:r>
                          <w:rPr>
                            <w:rFonts w:ascii="Cambria Math" w:hAnsi="Cambria Math"/>
                            <w:sz w:val="20"/>
                          </w:rPr>
                          <m:t>t</m:t>
                        </m:r>
                      </m:e>
                    </m:d>
                    <m:r>
                      <w:rPr>
                        <w:rFonts w:ascii="Cambria Math" w:hAnsi="Cambria Math"/>
                        <w:sz w:val="20"/>
                      </w:rPr>
                      <m:t>&gt;100 mHz</m:t>
                    </m:r>
                  </m:e>
                </m:mr>
              </m:m>
            </m:e>
          </m:d>
        </m:oMath>
      </m:oMathPara>
    </w:p>
    <w:p w14:paraId="2FBE6135" w14:textId="00CBEF91" w:rsidR="00094F96" w:rsidRPr="00AD04F9" w:rsidRDefault="00044A15" w:rsidP="00B21E31">
      <w:r>
        <w:t xml:space="preserve">The uniform price for Unintended Exchange and FCP Energy corresponds to </w:t>
      </w:r>
      <m:oMath>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UE,FCP</m:t>
            </m:r>
          </m:sub>
        </m:sSub>
        <m:d>
          <m:dPr>
            <m:ctrlPr>
              <w:rPr>
                <w:rFonts w:ascii="Cambria Math" w:hAnsi="Cambria Math"/>
                <w:i/>
                <w:sz w:val="20"/>
              </w:rPr>
            </m:ctrlPr>
          </m:dPr>
          <m:e>
            <m:r>
              <w:rPr>
                <w:rFonts w:ascii="Cambria Math" w:hAnsi="Cambria Math"/>
                <w:sz w:val="20"/>
              </w:rPr>
              <m:t>t</m:t>
            </m:r>
          </m:e>
        </m:d>
      </m:oMath>
    </w:p>
    <w:p w14:paraId="0A56295E" w14:textId="665132F2" w:rsidR="00C161F6" w:rsidRPr="00511227" w:rsidRDefault="00C161F6" w:rsidP="00B21E31">
      <w:r>
        <w:t xml:space="preserve">The </w:t>
      </w:r>
      <w:r w:rsidR="00F61D41">
        <w:t>frequency dependant component may be not considered on the</w:t>
      </w:r>
      <w:r>
        <w:t xml:space="preserve"> UE and FCP Energy between two LFC Areas connected only by HVDC cable</w:t>
      </w:r>
      <w:r w:rsidR="00F61D41">
        <w:t xml:space="preserve">. In such case the reference price could correspond to </w:t>
      </w:r>
      <m:oMath>
        <m:sSub>
          <m:sSubPr>
            <m:ctrlPr>
              <w:rPr>
                <w:rFonts w:ascii="Cambria Math" w:hAnsi="Cambria Math"/>
                <w:i/>
              </w:rPr>
            </m:ctrlPr>
          </m:sSubPr>
          <m:e>
            <m:r>
              <w:rPr>
                <w:rFonts w:ascii="Cambria Math" w:hAnsi="Cambria Math"/>
              </w:rPr>
              <m:t>Price</m:t>
            </m:r>
          </m:e>
          <m:sub>
            <m:r>
              <w:rPr>
                <w:rFonts w:ascii="Cambria Math" w:hAnsi="Cambria Math"/>
              </w:rPr>
              <m:t>ref</m:t>
            </m:r>
          </m:sub>
        </m:sSub>
        <m:d>
          <m:dPr>
            <m:ctrlPr>
              <w:rPr>
                <w:rFonts w:ascii="Cambria Math" w:hAnsi="Cambria Math"/>
                <w:i/>
              </w:rPr>
            </m:ctrlPr>
          </m:dPr>
          <m:e>
            <m:r>
              <w:rPr>
                <w:rFonts w:ascii="Cambria Math" w:hAnsi="Cambria Math"/>
              </w:rPr>
              <m:t>t</m:t>
            </m:r>
          </m:e>
        </m:d>
      </m:oMath>
      <w:r w:rsidR="00F61D41">
        <w:t>.</w:t>
      </w:r>
    </w:p>
    <w:p w14:paraId="42DD0248" w14:textId="23376B0C" w:rsidR="00044A15" w:rsidRPr="00632FF6" w:rsidRDefault="00044A15" w:rsidP="00632FF6">
      <w:pPr>
        <w:rPr>
          <w:rStyle w:val="Strong"/>
        </w:rPr>
      </w:pPr>
      <w:r>
        <w:rPr>
          <w:rStyle w:val="Strong"/>
        </w:rPr>
        <w:t>Monetary values</w:t>
      </w:r>
    </w:p>
    <w:p w14:paraId="540F2401" w14:textId="7105C59F" w:rsidR="00810D05" w:rsidRPr="00C87891" w:rsidRDefault="00955A4E" w:rsidP="00AA7D71">
      <w:r>
        <w:t xml:space="preserve">Based on settlement volumes and the settlement prices the </w:t>
      </w:r>
      <w:r w:rsidR="00044A15">
        <w:t>Monetary Values</w:t>
      </w:r>
      <w:r>
        <w:t xml:space="preserve"> are calculated.</w:t>
      </w:r>
    </w:p>
    <w:p w14:paraId="48FF917F" w14:textId="203589D3" w:rsidR="00736A9B" w:rsidRPr="00C87891" w:rsidRDefault="00044A15" w:rsidP="00632FF6">
      <w:pPr>
        <w:pStyle w:val="Heading4"/>
      </w:pPr>
      <w:bookmarkStart w:id="94" w:name="_Toc54000704"/>
      <w:bookmarkStart w:id="95" w:name="_Toc54000705"/>
      <w:bookmarkStart w:id="96" w:name="_Toc54000706"/>
      <w:bookmarkStart w:id="97" w:name="_Toc54000707"/>
      <w:bookmarkStart w:id="98" w:name="_Toc54000708"/>
      <w:bookmarkStart w:id="99" w:name="_Toc54000709"/>
      <w:bookmarkStart w:id="100" w:name="_Toc54000710"/>
      <w:bookmarkStart w:id="101" w:name="_Toc54000711"/>
      <w:bookmarkStart w:id="102" w:name="_Toc54000712"/>
      <w:bookmarkStart w:id="103" w:name="_Toc54000713"/>
      <w:bookmarkStart w:id="104" w:name="_Toc54000714"/>
      <w:bookmarkStart w:id="105" w:name="_Toc54000715"/>
      <w:bookmarkStart w:id="106" w:name="_Toc54000716"/>
      <w:bookmarkStart w:id="107" w:name="_Toc54000717"/>
      <w:bookmarkStart w:id="108" w:name="_Toc54000718"/>
      <w:bookmarkStart w:id="109" w:name="_Toc54000719"/>
      <w:bookmarkStart w:id="110" w:name="_Toc54000720"/>
      <w:bookmarkStart w:id="111" w:name="_Toc54000721"/>
      <w:bookmarkStart w:id="112" w:name="_Toc54000722"/>
      <w:bookmarkStart w:id="113" w:name="_Toc54000723"/>
      <w:bookmarkStart w:id="114" w:name="_Toc54000724"/>
      <w:bookmarkStart w:id="115" w:name="_Toc54000725"/>
      <w:bookmarkStart w:id="116" w:name="_Toc54000726"/>
      <w:bookmarkStart w:id="117" w:name="_Toc54000727"/>
      <w:bookmarkStart w:id="118" w:name="_Toc54000728"/>
      <w:bookmarkStart w:id="119" w:name="_Toc54000729"/>
      <w:bookmarkStart w:id="120" w:name="_Toc54000730"/>
      <w:bookmarkStart w:id="121" w:name="_Toc54000731"/>
      <w:bookmarkStart w:id="122" w:name="_Toc54000732"/>
      <w:bookmarkStart w:id="123" w:name="_Toc54000733"/>
      <w:bookmarkStart w:id="124" w:name="_Toc54000734"/>
      <w:bookmarkStart w:id="125" w:name="_Toc54000735"/>
      <w:bookmarkStart w:id="126" w:name="_Toc54000736"/>
      <w:bookmarkStart w:id="127" w:name="_Toc54000737"/>
      <w:bookmarkStart w:id="128" w:name="_Toc54000738"/>
      <w:bookmarkStart w:id="129" w:name="_Toc54000739"/>
      <w:bookmarkStart w:id="130" w:name="_Toc54000740"/>
      <w:bookmarkStart w:id="131" w:name="_Toc54000741"/>
      <w:bookmarkStart w:id="132" w:name="_Toc54000742"/>
      <w:bookmarkStart w:id="133" w:name="_Toc5400074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Daily Settlement Prices Report and Monthly Settlement Reports</w:t>
      </w:r>
    </w:p>
    <w:p w14:paraId="496669DE" w14:textId="11138CAD" w:rsidR="003B7335" w:rsidRPr="00C87891" w:rsidRDefault="00044A15" w:rsidP="00736A9B">
      <w:r>
        <w:t>For</w:t>
      </w:r>
      <w:r w:rsidR="00736A9B" w:rsidRPr="00C87891">
        <w:t xml:space="preserve"> the </w:t>
      </w:r>
      <w:r w:rsidR="008151B4" w:rsidRPr="00C87891">
        <w:t>Settlement Process</w:t>
      </w:r>
      <w:r w:rsidR="00736A9B" w:rsidRPr="00C87891">
        <w:t xml:space="preserve"> the </w:t>
      </w:r>
      <w:r w:rsidR="00E9348B">
        <w:t>following reports are generated:</w:t>
      </w:r>
      <w:r w:rsidR="00D25C30">
        <w:t xml:space="preserve"> Daily </w:t>
      </w:r>
      <w:r w:rsidR="00E9348B">
        <w:t>S</w:t>
      </w:r>
      <w:r w:rsidR="00D25C30">
        <w:t xml:space="preserve">ettlement </w:t>
      </w:r>
      <w:r w:rsidR="00E9348B">
        <w:t>P</w:t>
      </w:r>
      <w:r w:rsidR="009E350F">
        <w:t xml:space="preserve">rices </w:t>
      </w:r>
      <w:r w:rsidR="00D25C30">
        <w:t>reports</w:t>
      </w:r>
      <w:r w:rsidR="00E9348B">
        <w:t xml:space="preserve"> (DSPR)</w:t>
      </w:r>
      <w:r w:rsidR="00D25C30">
        <w:t xml:space="preserve">, </w:t>
      </w:r>
      <w:r w:rsidR="00ED746F">
        <w:t>M</w:t>
      </w:r>
      <w:r w:rsidR="00D25C30">
        <w:t xml:space="preserve">onthly </w:t>
      </w:r>
      <w:r w:rsidR="00E9348B">
        <w:t>S</w:t>
      </w:r>
      <w:r w:rsidR="00D25C30">
        <w:t xml:space="preserve">ettlement </w:t>
      </w:r>
      <w:r w:rsidR="00E9348B">
        <w:t>R</w:t>
      </w:r>
      <w:r w:rsidR="00D25C30">
        <w:t>eports</w:t>
      </w:r>
      <w:r w:rsidR="00E9348B">
        <w:t xml:space="preserve"> (MSR)</w:t>
      </w:r>
      <w:r w:rsidR="00D25C30">
        <w:t>.</w:t>
      </w:r>
      <w:r w:rsidR="00C073DC">
        <w:t xml:space="preserve"> </w:t>
      </w:r>
      <w:r w:rsidR="00736A9B" w:rsidRPr="00C87891">
        <w:t xml:space="preserve">The </w:t>
      </w:r>
      <w:r w:rsidR="00094F96">
        <w:t>Daily</w:t>
      </w:r>
      <w:r w:rsidR="00D25C30">
        <w:t xml:space="preserve"> </w:t>
      </w:r>
      <w:r w:rsidR="00094F96">
        <w:t>Settlement</w:t>
      </w:r>
      <w:r w:rsidR="00D25C30">
        <w:t xml:space="preserve"> </w:t>
      </w:r>
      <w:r w:rsidR="00094F96">
        <w:t>Prices</w:t>
      </w:r>
      <w:r w:rsidR="009E350F">
        <w:t xml:space="preserve"> </w:t>
      </w:r>
      <w:r w:rsidR="00094F96">
        <w:t>Report</w:t>
      </w:r>
      <w:r w:rsidR="00D25C30">
        <w:t xml:space="preserve"> are</w:t>
      </w:r>
      <w:r w:rsidR="00736A9B" w:rsidRPr="00C87891">
        <w:t xml:space="preserve"> generated daily, the </w:t>
      </w:r>
      <w:r w:rsidR="00094F96">
        <w:t>Monthly Settlement Report</w:t>
      </w:r>
      <w:r w:rsidR="00736A9B" w:rsidRPr="00C87891">
        <w:t xml:space="preserve"> is generated </w:t>
      </w:r>
      <w:r w:rsidR="00D25C30">
        <w:t>monthly</w:t>
      </w:r>
      <w:r w:rsidR="00370A25">
        <w:t>. The resolution is in both cases per</w:t>
      </w:r>
      <w:r w:rsidR="00094F96">
        <w:t xml:space="preserve"> TSO-TSO Settlement Period.</w:t>
      </w:r>
    </w:p>
    <w:p w14:paraId="78F840A3" w14:textId="360879C7" w:rsidR="00736A9B" w:rsidRDefault="00736A9B" w:rsidP="00736A9B">
      <w:r w:rsidRPr="00C87891">
        <w:t>The report</w:t>
      </w:r>
      <w:r w:rsidR="00094F96">
        <w:t>s</w:t>
      </w:r>
      <w:r w:rsidRPr="00C87891">
        <w:t xml:space="preserve"> contain the following information:</w:t>
      </w:r>
    </w:p>
    <w:p w14:paraId="57CBC470" w14:textId="25161E0B" w:rsidR="00094F96" w:rsidRDefault="00D25C30" w:rsidP="002C2863">
      <w:pPr>
        <w:pStyle w:val="AufzhlungPunkte"/>
        <w:numPr>
          <w:ilvl w:val="0"/>
          <w:numId w:val="71"/>
        </w:numPr>
        <w:spacing w:line="240" w:lineRule="auto"/>
        <w:ind w:left="714" w:hanging="357"/>
      </w:pPr>
      <w:r>
        <w:t>Volume of FCPE for each TSO (as calculated in the accounting process)</w:t>
      </w:r>
    </w:p>
    <w:p w14:paraId="6AE214D9" w14:textId="695EA4F7" w:rsidR="00094F96" w:rsidRDefault="00D25C30" w:rsidP="002C2863">
      <w:pPr>
        <w:pStyle w:val="AufzhlungPunkte"/>
        <w:numPr>
          <w:ilvl w:val="0"/>
          <w:numId w:val="71"/>
        </w:numPr>
        <w:spacing w:line="240" w:lineRule="auto"/>
        <w:ind w:left="714" w:hanging="357"/>
      </w:pPr>
      <w:r>
        <w:t>Volume of RPE for each TSO (as calculated in the accounting process)</w:t>
      </w:r>
    </w:p>
    <w:p w14:paraId="73404B62" w14:textId="5DAF4ED3" w:rsidR="00094F96" w:rsidRDefault="00D25C30" w:rsidP="002C2863">
      <w:pPr>
        <w:pStyle w:val="AufzhlungPunkte"/>
        <w:numPr>
          <w:ilvl w:val="0"/>
          <w:numId w:val="71"/>
        </w:numPr>
        <w:spacing w:line="240" w:lineRule="auto"/>
        <w:ind w:left="714" w:hanging="357"/>
      </w:pPr>
      <w:r>
        <w:t>Volume of UE for each TSO (as calculated in the accounting process)</w:t>
      </w:r>
    </w:p>
    <w:p w14:paraId="70066F06" w14:textId="4B52A218" w:rsidR="00174280" w:rsidRPr="00174280" w:rsidRDefault="009811C0" w:rsidP="002C2863">
      <w:pPr>
        <w:pStyle w:val="AufzhlungPunkte"/>
        <w:numPr>
          <w:ilvl w:val="0"/>
          <w:numId w:val="71"/>
        </w:numPr>
        <w:spacing w:line="240" w:lineRule="auto"/>
        <w:ind w:left="714" w:hanging="357"/>
        <w:rPr>
          <w:rStyle w:val="Strong"/>
          <w:b w:val="0"/>
          <w:bCs w:val="0"/>
        </w:rPr>
      </w:pPr>
      <w:r>
        <w:rPr>
          <w:rStyle w:val="Strong"/>
          <w:b w:val="0"/>
          <w:bCs w:val="0"/>
        </w:rPr>
        <w:t>Day-Ahead Market Price (DAMP)</w:t>
      </w:r>
      <w:r w:rsidR="00174280" w:rsidRPr="00174280">
        <w:rPr>
          <w:rStyle w:val="Strong"/>
          <w:b w:val="0"/>
          <w:bCs w:val="0"/>
        </w:rPr>
        <w:t xml:space="preserve"> for each LFC block, as used in the settlement process.</w:t>
      </w:r>
    </w:p>
    <w:p w14:paraId="66B8E1E7" w14:textId="1EF61BCE" w:rsidR="00174280" w:rsidRPr="00174280" w:rsidRDefault="009811C0" w:rsidP="002C2863">
      <w:pPr>
        <w:pStyle w:val="AufzhlungPunkte"/>
        <w:numPr>
          <w:ilvl w:val="0"/>
          <w:numId w:val="71"/>
        </w:numPr>
        <w:spacing w:line="240" w:lineRule="auto"/>
        <w:ind w:left="714" w:hanging="357"/>
        <w:rPr>
          <w:rStyle w:val="Strong"/>
          <w:b w:val="0"/>
          <w:bCs w:val="0"/>
        </w:rPr>
      </w:pPr>
      <w:r>
        <w:rPr>
          <w:rStyle w:val="Strong"/>
          <w:b w:val="0"/>
          <w:bCs w:val="0"/>
        </w:rPr>
        <w:t>Day-Ahead Market Price (DAMP)</w:t>
      </w:r>
      <w:r w:rsidR="00174280" w:rsidRPr="009811C0">
        <w:rPr>
          <w:rStyle w:val="Strong"/>
          <w:b w:val="0"/>
          <w:bCs w:val="0"/>
        </w:rPr>
        <w:t xml:space="preserve"> for each LFC area, for LFC blocks with multiple LFC areas.</w:t>
      </w:r>
    </w:p>
    <w:p w14:paraId="033F6CAD" w14:textId="629579E3" w:rsidR="00094F96" w:rsidRPr="002C2863" w:rsidRDefault="00D25C30" w:rsidP="002C2863">
      <w:pPr>
        <w:pStyle w:val="AufzhlungPunkte"/>
        <w:numPr>
          <w:ilvl w:val="0"/>
          <w:numId w:val="71"/>
        </w:numPr>
        <w:spacing w:line="240" w:lineRule="auto"/>
        <w:ind w:left="714" w:hanging="357"/>
      </w:pPr>
      <w:r>
        <w:lastRenderedPageBreak/>
        <w:t xml:space="preserve">Price for FCPE for the SA CE (as calculated in the </w:t>
      </w:r>
      <w:r w:rsidRPr="002C2863">
        <w:t xml:space="preserve">settlement </w:t>
      </w:r>
      <w:r>
        <w:t>process)</w:t>
      </w:r>
    </w:p>
    <w:p w14:paraId="00AFF20B" w14:textId="49F3A2CE" w:rsidR="00094F96" w:rsidRDefault="00D25C30" w:rsidP="00632FF6">
      <w:pPr>
        <w:pStyle w:val="AufzhlungPunkte"/>
        <w:numPr>
          <w:ilvl w:val="0"/>
          <w:numId w:val="71"/>
        </w:numPr>
        <w:spacing w:line="240" w:lineRule="auto"/>
        <w:ind w:left="714" w:hanging="357"/>
      </w:pPr>
      <w:r>
        <w:t>Price for RPE for</w:t>
      </w:r>
      <w:r w:rsidRPr="002C2863">
        <w:t xml:space="preserve"> the SA CE</w:t>
      </w:r>
      <w:r>
        <w:t>: 0 €/MWh</w:t>
      </w:r>
    </w:p>
    <w:p w14:paraId="3E1F80F3" w14:textId="5A34E100" w:rsidR="00D25C30" w:rsidRDefault="00D25C30" w:rsidP="002C70EF">
      <w:pPr>
        <w:pStyle w:val="AufzhlungPunkte"/>
        <w:numPr>
          <w:ilvl w:val="0"/>
          <w:numId w:val="71"/>
        </w:numPr>
        <w:spacing w:line="240" w:lineRule="auto"/>
        <w:ind w:left="714" w:hanging="357"/>
      </w:pPr>
      <w:r>
        <w:t>Price for UE for the SA CE (as calculated in the settlement process)</w:t>
      </w:r>
    </w:p>
    <w:p w14:paraId="1BCFDF0B" w14:textId="0507F11B" w:rsidR="00BB7BEC" w:rsidRDefault="00BB7BEC" w:rsidP="002C70EF">
      <w:pPr>
        <w:pStyle w:val="AufzhlungPunkte"/>
        <w:numPr>
          <w:ilvl w:val="0"/>
          <w:numId w:val="71"/>
        </w:numPr>
        <w:spacing w:line="240" w:lineRule="auto"/>
        <w:ind w:left="714" w:hanging="357"/>
      </w:pPr>
      <w:r>
        <w:t>Monetary values for FCPE for each TSO (as calculated in the settlement process)</w:t>
      </w:r>
      <w:r w:rsidRPr="00BB7BEC">
        <w:t xml:space="preserve"> </w:t>
      </w:r>
    </w:p>
    <w:p w14:paraId="12293990" w14:textId="2A92AF8D" w:rsidR="00BB7BEC" w:rsidRPr="00B51B29" w:rsidRDefault="00BB7BEC" w:rsidP="002C70EF">
      <w:pPr>
        <w:pStyle w:val="AufzhlungPunkte"/>
        <w:numPr>
          <w:ilvl w:val="0"/>
          <w:numId w:val="71"/>
        </w:numPr>
        <w:spacing w:line="240" w:lineRule="auto"/>
        <w:ind w:left="714" w:hanging="357"/>
      </w:pPr>
      <w:r>
        <w:t xml:space="preserve">Monetary values for RPE for each TSO (as calculated in the </w:t>
      </w:r>
      <w:r w:rsidRPr="00B51B29">
        <w:t xml:space="preserve">settlement </w:t>
      </w:r>
      <w:r>
        <w:t>process)</w:t>
      </w:r>
    </w:p>
    <w:p w14:paraId="529203AE" w14:textId="30B34D91" w:rsidR="00BB7BEC" w:rsidRDefault="00BB7BEC" w:rsidP="00BB7BEC">
      <w:pPr>
        <w:pStyle w:val="AufzhlungPunkte"/>
        <w:numPr>
          <w:ilvl w:val="0"/>
          <w:numId w:val="71"/>
        </w:numPr>
        <w:spacing w:line="240" w:lineRule="auto"/>
        <w:ind w:left="714" w:hanging="357"/>
      </w:pPr>
      <w:r>
        <w:t>Monetary values for UE for each TSO (as calculated in the settlement process)</w:t>
      </w:r>
    </w:p>
    <w:p w14:paraId="40BBDABE" w14:textId="4E3C3BF1" w:rsidR="00BB7BEC" w:rsidRDefault="00BB7BEC" w:rsidP="00632FF6">
      <w:pPr>
        <w:pStyle w:val="AufzhlungPunkte"/>
        <w:numPr>
          <w:ilvl w:val="0"/>
          <w:numId w:val="0"/>
        </w:numPr>
        <w:spacing w:line="240" w:lineRule="auto"/>
      </w:pPr>
    </w:p>
    <w:p w14:paraId="443EC49C" w14:textId="078FB08D" w:rsidR="00370A25" w:rsidRDefault="00094F96" w:rsidP="006A1235">
      <w:pPr>
        <w:rPr>
          <w:rFonts w:ascii="Arial" w:hAnsi="Arial" w:cs="Arial"/>
        </w:rPr>
      </w:pPr>
      <w:r w:rsidRPr="009E0E53">
        <w:t xml:space="preserve">As a result of the </w:t>
      </w:r>
      <w:r w:rsidR="00370A25" w:rsidRPr="009E0E53">
        <w:t>daily</w:t>
      </w:r>
      <w:r w:rsidR="00370A25" w:rsidRPr="002C2863">
        <w:t xml:space="preserve"> </w:t>
      </w:r>
      <w:r w:rsidRPr="002C2863">
        <w:t>Settlement Process</w:t>
      </w:r>
      <w:r w:rsidRPr="009E0E53">
        <w:t xml:space="preserve">, </w:t>
      </w:r>
      <w:r w:rsidR="002E2691">
        <w:t>Coordination</w:t>
      </w:r>
      <w:r w:rsidR="008D666C" w:rsidRPr="009E0E53">
        <w:t xml:space="preserve"> Centre</w:t>
      </w:r>
      <w:r w:rsidRPr="009E0E53">
        <w:t xml:space="preserve">s </w:t>
      </w:r>
      <w:r w:rsidR="001F70C1" w:rsidRPr="009E0E53">
        <w:t xml:space="preserve">send the DSPR </w:t>
      </w:r>
      <w:r w:rsidR="00C073DC" w:rsidRPr="009E0E53">
        <w:t>to the TSOs</w:t>
      </w:r>
      <w:r w:rsidR="00684F78" w:rsidRPr="009E0E53">
        <w:t xml:space="preserve">. </w:t>
      </w:r>
      <w:r w:rsidR="00370A25">
        <w:rPr>
          <w:rFonts w:ascii="Arial" w:hAnsi="Arial" w:cs="Arial"/>
        </w:rPr>
        <w:t xml:space="preserve">The TSOs have 4 Working Days to review the DSPR for each day. In case of needed corrections, TSOs shall inform the </w:t>
      </w:r>
      <w:r w:rsidR="002E2691">
        <w:rPr>
          <w:rFonts w:ascii="Arial" w:hAnsi="Arial" w:cs="Arial"/>
        </w:rPr>
        <w:t>Coordination</w:t>
      </w:r>
      <w:r w:rsidR="00185ECC">
        <w:rPr>
          <w:rFonts w:ascii="Arial" w:hAnsi="Arial" w:cs="Arial"/>
        </w:rPr>
        <w:t xml:space="preserve"> Centre</w:t>
      </w:r>
      <w:r w:rsidR="00370A25">
        <w:rPr>
          <w:rFonts w:ascii="Arial" w:hAnsi="Arial" w:cs="Arial"/>
        </w:rPr>
        <w:t xml:space="preserve"> immediately and align bilaterally </w:t>
      </w:r>
      <w:r w:rsidR="006A1235">
        <w:rPr>
          <w:rFonts w:ascii="Arial" w:hAnsi="Arial" w:cs="Arial"/>
        </w:rPr>
        <w:t xml:space="preserve">within the deadline </w:t>
      </w:r>
      <w:r w:rsidR="00370A25">
        <w:rPr>
          <w:rFonts w:ascii="Arial" w:hAnsi="Arial" w:cs="Arial"/>
        </w:rPr>
        <w:t xml:space="preserve">to correct the data. After corrections, </w:t>
      </w:r>
      <w:r w:rsidR="002E2691">
        <w:rPr>
          <w:rFonts w:ascii="Arial" w:hAnsi="Arial" w:cs="Arial"/>
        </w:rPr>
        <w:t>Coordination</w:t>
      </w:r>
      <w:r w:rsidR="00185ECC">
        <w:rPr>
          <w:rFonts w:ascii="Arial" w:hAnsi="Arial" w:cs="Arial"/>
        </w:rPr>
        <w:t xml:space="preserve"> Centre</w:t>
      </w:r>
      <w:r w:rsidR="00370A25">
        <w:rPr>
          <w:rFonts w:ascii="Arial" w:hAnsi="Arial" w:cs="Arial"/>
        </w:rPr>
        <w:t>s shall send a corrected DSPR to the TSOs. This concludes the daily Settlement Process.</w:t>
      </w:r>
    </w:p>
    <w:p w14:paraId="104246CD" w14:textId="2E74D230" w:rsidR="00684F78" w:rsidRPr="00632FF6" w:rsidRDefault="00370A25" w:rsidP="002C2863">
      <w:pPr>
        <w:rPr>
          <w:rFonts w:ascii="Arial" w:hAnsi="Arial" w:cs="Arial"/>
        </w:rPr>
      </w:pPr>
      <w:r>
        <w:rPr>
          <w:rFonts w:ascii="Arial" w:hAnsi="Arial" w:cs="Arial"/>
        </w:rPr>
        <w:t xml:space="preserve">After the daily Settlement Process for each day of the calendar month has been concluded, </w:t>
      </w:r>
      <w:r w:rsidR="002E2691">
        <w:rPr>
          <w:rFonts w:ascii="Arial" w:hAnsi="Arial" w:cs="Arial"/>
        </w:rPr>
        <w:t>Coordination</w:t>
      </w:r>
      <w:r w:rsidR="008D666C">
        <w:rPr>
          <w:rFonts w:ascii="Arial" w:hAnsi="Arial" w:cs="Arial"/>
        </w:rPr>
        <w:t xml:space="preserve"> Centre</w:t>
      </w:r>
      <w:r>
        <w:rPr>
          <w:rFonts w:ascii="Arial" w:hAnsi="Arial" w:cs="Arial"/>
        </w:rPr>
        <w:t>s send the MS</w:t>
      </w:r>
      <w:r w:rsidR="009541A4">
        <w:rPr>
          <w:rFonts w:ascii="Arial" w:hAnsi="Arial" w:cs="Arial"/>
        </w:rPr>
        <w:t>R</w:t>
      </w:r>
      <w:r>
        <w:rPr>
          <w:rFonts w:ascii="Arial" w:hAnsi="Arial" w:cs="Arial"/>
        </w:rPr>
        <w:t xml:space="preserve"> to the TSOs.</w:t>
      </w:r>
      <w:r w:rsidRPr="00370A25">
        <w:rPr>
          <w:rFonts w:ascii="Arial" w:hAnsi="Arial" w:cs="Arial"/>
        </w:rPr>
        <w:t xml:space="preserve"> </w:t>
      </w:r>
      <w:r>
        <w:rPr>
          <w:rFonts w:ascii="Arial" w:hAnsi="Arial" w:cs="Arial"/>
        </w:rPr>
        <w:t xml:space="preserve">The TSOs </w:t>
      </w:r>
      <w:r w:rsidR="006A1235">
        <w:rPr>
          <w:rFonts w:ascii="Arial" w:hAnsi="Arial" w:cs="Arial"/>
        </w:rPr>
        <w:t xml:space="preserve">must </w:t>
      </w:r>
      <w:r>
        <w:rPr>
          <w:rFonts w:ascii="Arial" w:hAnsi="Arial" w:cs="Arial"/>
        </w:rPr>
        <w:t>review the MSR and send Confirmation Document for the MSR</w:t>
      </w:r>
      <w:r w:rsidR="006A1235">
        <w:rPr>
          <w:rFonts w:ascii="Arial" w:hAnsi="Arial" w:cs="Arial"/>
        </w:rPr>
        <w:t xml:space="preserve"> within 4 working days</w:t>
      </w:r>
      <w:r>
        <w:rPr>
          <w:rFonts w:ascii="Arial" w:hAnsi="Arial" w:cs="Arial"/>
        </w:rPr>
        <w:t xml:space="preserve">. </w:t>
      </w:r>
    </w:p>
    <w:p w14:paraId="5AC34C17" w14:textId="52B0416B" w:rsidR="00CC3C5D" w:rsidRPr="00CC3C5D" w:rsidRDefault="00CC3C5D" w:rsidP="5BCF031F">
      <w:pPr>
        <w:rPr>
          <w:bCs/>
        </w:rPr>
      </w:pPr>
      <w:r w:rsidRPr="009E0E53">
        <w:t xml:space="preserve">Once all the MSR have been validated, </w:t>
      </w:r>
      <w:r w:rsidR="002E2691">
        <w:t>Coordination</w:t>
      </w:r>
      <w:r w:rsidR="008D666C" w:rsidRPr="009E0E53">
        <w:t xml:space="preserve"> Centre</w:t>
      </w:r>
      <w:r w:rsidR="00370A25" w:rsidRPr="009E0E53">
        <w:t>s</w:t>
      </w:r>
      <w:r w:rsidRPr="009E0E53">
        <w:t xml:space="preserve"> send the monthly settlement results (validated settlement volumes, prices end values) to </w:t>
      </w:r>
      <w:r w:rsidR="00DF6584" w:rsidRPr="009E0E53">
        <w:t>invoicing entity</w:t>
      </w:r>
      <w:r w:rsidRPr="009E0E53">
        <w:t xml:space="preserve">. </w:t>
      </w:r>
      <w:r w:rsidR="006A1235" w:rsidRPr="009E0E53">
        <w:t xml:space="preserve">If confirmations are not received, invoicing is not possible. </w:t>
      </w:r>
      <w:r w:rsidR="00DF6584" w:rsidRPr="00E16283">
        <w:t>Invoicing entity</w:t>
      </w:r>
      <w:r w:rsidR="009E350F" w:rsidRPr="00E16283">
        <w:t xml:space="preserve"> </w:t>
      </w:r>
      <w:r w:rsidRPr="00E16283">
        <w:t xml:space="preserve">send invoices to all </w:t>
      </w:r>
      <w:r w:rsidR="00DF6584" w:rsidRPr="00E16283">
        <w:t>T</w:t>
      </w:r>
      <w:r w:rsidRPr="00E16283">
        <w:t>SO.</w:t>
      </w:r>
      <w:r w:rsidR="00370A25" w:rsidRPr="00E16283">
        <w:t xml:space="preserve"> This concludes the Settlement Process</w:t>
      </w:r>
    </w:p>
    <w:p w14:paraId="2F9BBA02" w14:textId="77777777" w:rsidR="00BE6316" w:rsidRDefault="00BE6316" w:rsidP="00E43A7D">
      <w:pPr>
        <w:pStyle w:val="Heading3"/>
      </w:pPr>
      <w:bookmarkStart w:id="134" w:name="_Toc107495741"/>
      <w:r>
        <w:t>Extraordinary measures</w:t>
      </w:r>
      <w:bookmarkEnd w:id="134"/>
    </w:p>
    <w:p w14:paraId="0C2D88CE" w14:textId="4D524F98" w:rsidR="0000774D" w:rsidRPr="006A1235" w:rsidRDefault="0080196B" w:rsidP="008569FE">
      <w:r>
        <w:t>E</w:t>
      </w:r>
      <w:r w:rsidR="006409ED">
        <w:t xml:space="preserve">xtraordinary measures may be proposed and implemented by the </w:t>
      </w:r>
      <w:r w:rsidR="002E2691">
        <w:t>Coordination</w:t>
      </w:r>
      <w:r w:rsidR="008D666C">
        <w:t xml:space="preserve"> Centre</w:t>
      </w:r>
      <w:r w:rsidR="006409ED">
        <w:t xml:space="preserve">s </w:t>
      </w:r>
      <w:r w:rsidR="007F3204">
        <w:t>after</w:t>
      </w:r>
      <w:r w:rsidR="006409ED">
        <w:t xml:space="preserve"> approval by RGCE Plenary, especially in cases of violations of this Policy.</w:t>
      </w:r>
      <w:r w:rsidR="006A1235">
        <w:t xml:space="preserve"> Extraordinary measures should not affect the accounting process.</w:t>
      </w:r>
      <w:r w:rsidR="00E8170D">
        <w:t xml:space="preserve"> </w:t>
      </w:r>
      <w:r w:rsidR="008569FE">
        <w:t>Extraordinary measures can also be possible i</w:t>
      </w:r>
      <w:r w:rsidR="00A87E7C">
        <w:t>n case of large frequency deviations</w:t>
      </w:r>
      <w:r w:rsidR="008569FE">
        <w:t>, when</w:t>
      </w:r>
      <w:r w:rsidR="00A87E7C">
        <w:t xml:space="preserve"> some TSOs intentionally enter into deviation to help restore the frequency</w:t>
      </w:r>
      <w:r w:rsidR="008569FE">
        <w:t>, to</w:t>
      </w:r>
      <w:r w:rsidR="00A87E7C">
        <w:t xml:space="preserve"> ensure that these TSOs are not penalized for such a behaviour</w:t>
      </w:r>
      <w:r w:rsidR="008569FE">
        <w:t>.</w:t>
      </w:r>
    </w:p>
    <w:p w14:paraId="79DFC472" w14:textId="77777777" w:rsidR="0000774D" w:rsidRPr="00BE6316" w:rsidRDefault="0000774D"/>
    <w:p w14:paraId="248B2215" w14:textId="77777777" w:rsidR="00736A9B" w:rsidRPr="00C87891" w:rsidRDefault="00736A9B" w:rsidP="00744FCC">
      <w:pPr>
        <w:rPr>
          <w:smallCaps/>
          <w:sz w:val="28"/>
          <w:szCs w:val="26"/>
        </w:rPr>
      </w:pPr>
      <w:r w:rsidRPr="00C87891">
        <w:br w:type="page"/>
      </w:r>
    </w:p>
    <w:p w14:paraId="08A7488A" w14:textId="6689BBC2" w:rsidR="00A07101" w:rsidRPr="00C87891" w:rsidRDefault="004D51F1" w:rsidP="00443483">
      <w:pPr>
        <w:pStyle w:val="Heading2"/>
      </w:pPr>
      <w:bookmarkStart w:id="135" w:name="_Toc85043892"/>
      <w:bookmarkStart w:id="136" w:name="_Toc107495742"/>
      <w:r w:rsidRPr="00C87891">
        <w:lastRenderedPageBreak/>
        <w:t>Guidelines</w:t>
      </w:r>
      <w:bookmarkEnd w:id="135"/>
      <w:bookmarkEnd w:id="136"/>
    </w:p>
    <w:p w14:paraId="14967F7F" w14:textId="77777777" w:rsidR="00A07101" w:rsidRPr="00C87891" w:rsidRDefault="007119A2" w:rsidP="00A07101">
      <w:pPr>
        <w:pStyle w:val="Heading3"/>
      </w:pPr>
      <w:bookmarkStart w:id="137" w:name="_Ref196725668"/>
      <w:bookmarkStart w:id="138" w:name="_Toc107495743"/>
      <w:r w:rsidRPr="00C87891">
        <w:t>Troubleshooting for the a</w:t>
      </w:r>
      <w:r w:rsidR="00A07101" w:rsidRPr="00C87891">
        <w:t>ccounting process.</w:t>
      </w:r>
      <w:bookmarkEnd w:id="137"/>
      <w:bookmarkEnd w:id="138"/>
      <w:r w:rsidR="00A07101" w:rsidRPr="00C87891">
        <w:t xml:space="preserve"> </w:t>
      </w:r>
    </w:p>
    <w:p w14:paraId="6CA5E8CD" w14:textId="2046C8C2" w:rsidR="00A07101" w:rsidRPr="00C87891" w:rsidRDefault="00A07101" w:rsidP="00A07101">
      <w:r w:rsidRPr="00C87891">
        <w:t>In case of unavailability of meter measurement data or available data but not agreed on time</w:t>
      </w:r>
      <w:r w:rsidR="00AA3EB7">
        <w:t xml:space="preserve"> </w:t>
      </w:r>
      <w:r w:rsidR="00AA3EB7" w:rsidRPr="00E005A0">
        <w:t xml:space="preserve">(the limit is </w:t>
      </w:r>
      <w:r w:rsidR="009E035E">
        <w:t xml:space="preserve">4 </w:t>
      </w:r>
      <w:r w:rsidR="00AA3EB7" w:rsidRPr="00E005A0">
        <w:t>working days after the scheduling day)</w:t>
      </w:r>
      <w:r w:rsidRPr="00E005A0">
        <w:t>,</w:t>
      </w:r>
      <w:r w:rsidRPr="00C87891">
        <w:t xml:space="preserve"> the following procedure is recommended in the following sequence:</w:t>
      </w:r>
    </w:p>
    <w:p w14:paraId="33E0ED1F" w14:textId="77777777" w:rsidR="00A07101" w:rsidRPr="00C87891" w:rsidRDefault="00A07101" w:rsidP="00A07101">
      <w:pPr>
        <w:pStyle w:val="AufzhlungPunkte"/>
      </w:pPr>
      <w:r w:rsidRPr="00C87891">
        <w:t xml:space="preserve">If available, use the check meter values from the </w:t>
      </w:r>
      <w:r w:rsidR="008151B4" w:rsidRPr="00C87891">
        <w:t>Accounting Point</w:t>
      </w:r>
      <w:r w:rsidRPr="00C87891">
        <w:t xml:space="preserve"> substation.</w:t>
      </w:r>
    </w:p>
    <w:p w14:paraId="56F5806C" w14:textId="77777777" w:rsidR="00A07101" w:rsidRPr="00C87891" w:rsidRDefault="00A07101" w:rsidP="00A07101">
      <w:pPr>
        <w:pStyle w:val="AufzhlungPunkte"/>
      </w:pPr>
      <w:r w:rsidRPr="00C87891">
        <w:t>If available, use the main meter values from the adjacent substation.</w:t>
      </w:r>
    </w:p>
    <w:p w14:paraId="234C97FC" w14:textId="77777777" w:rsidR="00A07101" w:rsidRPr="00C87891" w:rsidRDefault="00A07101" w:rsidP="00A07101">
      <w:pPr>
        <w:pStyle w:val="AufzhlungPunkte"/>
      </w:pPr>
      <w:r w:rsidRPr="00C87891">
        <w:t>If available, use the check meter values from the adjacent substation.</w:t>
      </w:r>
    </w:p>
    <w:p w14:paraId="4C6F75D7" w14:textId="77777777" w:rsidR="00A07101" w:rsidRPr="00C87891" w:rsidRDefault="00A07101" w:rsidP="00A07101">
      <w:pPr>
        <w:pStyle w:val="AufzhlungPunkte"/>
      </w:pPr>
      <w:r w:rsidRPr="00C87891">
        <w:t>If available, use the integrated measurement values from the on-line observation</w:t>
      </w:r>
    </w:p>
    <w:p w14:paraId="6B088408" w14:textId="77777777" w:rsidR="00A07101" w:rsidRPr="00C87891" w:rsidRDefault="00A07101" w:rsidP="00A07101">
      <w:pPr>
        <w:pStyle w:val="AufzhlungPunkte"/>
      </w:pPr>
      <w:r w:rsidRPr="00C87891">
        <w:t>Otherwise, the partners involved agree on the methodology to determine substitutes.</w:t>
      </w:r>
    </w:p>
    <w:p w14:paraId="40BE1952" w14:textId="77777777" w:rsidR="00A07101" w:rsidRPr="00C87891" w:rsidRDefault="00A07101" w:rsidP="00A07101">
      <w:pPr>
        <w:pStyle w:val="AufzhlungPunkte"/>
      </w:pPr>
      <w:r w:rsidRPr="00C87891">
        <w:t>In any case, more flexible procedure for troubleshooting can be agreed in a bilateral way among the affected TSOs, insuring the normal operation of the accounting process.</w:t>
      </w:r>
    </w:p>
    <w:p w14:paraId="57DE46B7" w14:textId="2C7A8DE1" w:rsidR="00A07101" w:rsidRPr="00C87891" w:rsidRDefault="00A07101" w:rsidP="00A07101">
      <w:bookmarkStart w:id="139" w:name="_Ref196725851"/>
      <w:r w:rsidRPr="00C87891">
        <w:t xml:space="preserve">In case two </w:t>
      </w:r>
      <w:r w:rsidR="00C34E1A" w:rsidRPr="00C87891">
        <w:t xml:space="preserve">SA </w:t>
      </w:r>
      <w:r w:rsidR="00E20AD6" w:rsidRPr="00C87891">
        <w:t xml:space="preserve">CE </w:t>
      </w:r>
      <w:r w:rsidRPr="00C87891">
        <w:t xml:space="preserve">bodies are sending mismatching </w:t>
      </w:r>
      <w:r w:rsidR="008151B4" w:rsidRPr="00C87891">
        <w:t>Accounting Data</w:t>
      </w:r>
      <w:r w:rsidRPr="00C87891">
        <w:t xml:space="preserve"> to </w:t>
      </w:r>
      <w:r w:rsidR="00BF4DFD" w:rsidRPr="00C87891">
        <w:t xml:space="preserve">the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Pr="00C87891">
        <w:t xml:space="preserve"> as part of the daily </w:t>
      </w:r>
      <w:r w:rsidR="008151B4" w:rsidRPr="00C87891">
        <w:t>Accounting Process</w:t>
      </w:r>
      <w:r w:rsidRPr="00C87891">
        <w:t xml:space="preserve"> the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00BF4DFD" w:rsidRPr="00C87891">
        <w:t xml:space="preserve"> </w:t>
      </w:r>
      <w:r w:rsidRPr="00C87891">
        <w:t>should immediately prepare a substitution of values in the following sequence:</w:t>
      </w:r>
      <w:bookmarkEnd w:id="139"/>
    </w:p>
    <w:p w14:paraId="054BB1DA" w14:textId="6BB2C1B0" w:rsidR="00A07101" w:rsidRPr="00C87891" w:rsidRDefault="00A07101" w:rsidP="00A07101">
      <w:pPr>
        <w:pStyle w:val="AufzhlungPunkte"/>
      </w:pPr>
      <w:r w:rsidRPr="00C87891">
        <w:t>If both TSO</w:t>
      </w:r>
      <w:r w:rsidR="00732EA6" w:rsidRPr="00C87891">
        <w:t>s</w:t>
      </w:r>
      <w:r w:rsidRPr="00C87891">
        <w:t xml:space="preserve"> are sending accounting values having “small” mismatch (</w:t>
      </w:r>
      <w:r w:rsidR="00AB4998" w:rsidRPr="00C87891">
        <w:t xml:space="preserve">mismatch as a percentage of the average value, calculated as 2[(A1-B1)/(A1+B1)], up to 10%) </w:t>
      </w:r>
      <w:r w:rsidR="00A42DB7" w:rsidRPr="00C87891">
        <w:t xml:space="preserve">to </w:t>
      </w:r>
      <w:r w:rsidR="00732EA6" w:rsidRPr="00C87891">
        <w:t xml:space="preserve">the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00BF4DFD" w:rsidRPr="00C87891">
        <w:t>), the</w:t>
      </w:r>
      <w:r w:rsidR="00732EA6" w:rsidRPr="00C87891">
        <w:t xml:space="preserve"> </w:t>
      </w:r>
      <w:r w:rsidR="002E2691">
        <w:t>Coordination</w:t>
      </w:r>
      <w:r w:rsidR="008D666C">
        <w:t xml:space="preserve"> Centre</w:t>
      </w:r>
      <w:r w:rsidR="00732EA6" w:rsidRPr="00C87891">
        <w:t xml:space="preserve"> (and LFC </w:t>
      </w:r>
      <w:r w:rsidR="008151B4" w:rsidRPr="00C87891">
        <w:t>Block</w:t>
      </w:r>
      <w:r w:rsidR="00732EA6" w:rsidRPr="00C87891">
        <w:t xml:space="preserve"> where applicable)</w:t>
      </w:r>
      <w:r w:rsidRPr="00C87891">
        <w:t xml:space="preserve"> should use the average of both values as substitute va</w:t>
      </w:r>
      <w:r w:rsidR="000E5BE2" w:rsidRPr="00C87891">
        <w:t>lue, w</w:t>
      </w:r>
      <w:r w:rsidRPr="00C87891">
        <w:t xml:space="preserve">here A1 = Accounting </w:t>
      </w:r>
      <w:r w:rsidR="008151B4" w:rsidRPr="00C87891">
        <w:t>Data</w:t>
      </w:r>
      <w:r w:rsidR="000E5BE2" w:rsidRPr="00C87891">
        <w:t xml:space="preserve"> send for line 1 by TSO A and </w:t>
      </w:r>
      <w:r w:rsidRPr="00C87891">
        <w:t xml:space="preserve">B1 = Accounting </w:t>
      </w:r>
      <w:r w:rsidR="008151B4" w:rsidRPr="00C87891">
        <w:t>Data</w:t>
      </w:r>
      <w:r w:rsidRPr="00C87891">
        <w:t xml:space="preserve"> send for line 1 by TSO B.</w:t>
      </w:r>
    </w:p>
    <w:p w14:paraId="43F2A3BB" w14:textId="5571371A" w:rsidR="00A07101" w:rsidRPr="00C87891" w:rsidRDefault="00A07101" w:rsidP="00A07101">
      <w:pPr>
        <w:pStyle w:val="AufzhlungPunkte"/>
      </w:pPr>
      <w:r w:rsidRPr="00C87891">
        <w:t>If both TSO</w:t>
      </w:r>
      <w:r w:rsidR="00732EA6" w:rsidRPr="00C87891">
        <w:t>s</w:t>
      </w:r>
      <w:r w:rsidRPr="00C87891">
        <w:t xml:space="preserve"> are sending accounting values having „large“ mismatches or do not sent accounting values at all and telemeasurements of the </w:t>
      </w:r>
      <w:r w:rsidR="000E5BE2" w:rsidRPr="00C87891">
        <w:t>tie-lines</w:t>
      </w:r>
      <w:r w:rsidRPr="00C87891">
        <w:t xml:space="preserve"> are available </w:t>
      </w:r>
      <w:r w:rsidR="00732EA6" w:rsidRPr="00C87891">
        <w:t>to</w:t>
      </w:r>
      <w:r w:rsidR="00A42DB7" w:rsidRPr="00C87891">
        <w:t xml:space="preserve"> </w:t>
      </w:r>
      <w:r w:rsidR="000E5BE2" w:rsidRPr="00C87891">
        <w:t xml:space="preserve">the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Pr="00C87891">
        <w:t xml:space="preserve">, </w:t>
      </w:r>
      <w:r w:rsidR="00732EA6" w:rsidRPr="00C87891">
        <w:t>the</w:t>
      </w:r>
      <w:r w:rsidR="00A42DB7" w:rsidRPr="00C87891">
        <w:t xml:space="preserve">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Pr="00C87891">
        <w:t xml:space="preserve"> should use telemeasurements as substitute value. </w:t>
      </w:r>
    </w:p>
    <w:p w14:paraId="4E8004DD" w14:textId="1C15D6F3" w:rsidR="00A07101" w:rsidRPr="00C87891" w:rsidRDefault="00A07101" w:rsidP="00A07101">
      <w:pPr>
        <w:pStyle w:val="AufzhlungPunkte"/>
      </w:pPr>
      <w:r w:rsidRPr="00C87891">
        <w:t>If both TSO</w:t>
      </w:r>
      <w:r w:rsidR="00B612F7" w:rsidRPr="00C87891">
        <w:t>s</w:t>
      </w:r>
      <w:r w:rsidRPr="00C87891">
        <w:t xml:space="preserve"> are sending accounting values having „large“ mismatches or do not </w:t>
      </w:r>
      <w:r w:rsidR="00732EA6" w:rsidRPr="00C87891">
        <w:t xml:space="preserve">send </w:t>
      </w:r>
      <w:r w:rsidRPr="00C87891">
        <w:t xml:space="preserve">accounting values at all and telemeasurements are NOT available </w:t>
      </w:r>
      <w:r w:rsidR="00A42DB7" w:rsidRPr="00C87891">
        <w:t xml:space="preserve">to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00732EA6" w:rsidRPr="00C87891">
        <w:t xml:space="preserve">, the </w:t>
      </w:r>
      <w:r w:rsidR="002E2691">
        <w:t>Coordination</w:t>
      </w:r>
      <w:r w:rsidR="008D666C">
        <w:t xml:space="preserve"> Centre</w:t>
      </w:r>
      <w:r w:rsidRPr="00C87891">
        <w:t xml:space="preserve"> </w:t>
      </w:r>
      <w:r w:rsidR="00B612F7" w:rsidRPr="00C87891">
        <w:t>shall communicate with the affected TSOs to determine the cause of the missing data and find a solution.</w:t>
      </w:r>
      <w:r w:rsidR="00734F69" w:rsidRPr="00C87891">
        <w:t xml:space="preserve"> In case a solution can</w:t>
      </w:r>
      <w:r w:rsidR="00744FCC" w:rsidRPr="00C87891">
        <w:t xml:space="preserve">not be found, the </w:t>
      </w:r>
      <w:r w:rsidR="002E2691">
        <w:t>Coordination</w:t>
      </w:r>
      <w:r w:rsidR="008D666C">
        <w:t xml:space="preserve"> Centre</w:t>
      </w:r>
      <w:r w:rsidR="00744FCC" w:rsidRPr="00C87891">
        <w:t xml:space="preserve"> shall set the accounting value to </w:t>
      </w:r>
      <w:r w:rsidR="00BF4DFD" w:rsidRPr="00C87891">
        <w:t>zero</w:t>
      </w:r>
      <w:r w:rsidR="00744FCC" w:rsidRPr="00C87891">
        <w:t>.</w:t>
      </w:r>
    </w:p>
    <w:p w14:paraId="20477A83" w14:textId="77777777" w:rsidR="007D6EF5" w:rsidRPr="00C87891" w:rsidRDefault="007D6EF5" w:rsidP="007D6EF5">
      <w:pPr>
        <w:pStyle w:val="Heading3"/>
      </w:pPr>
      <w:bookmarkStart w:id="140" w:name="_Toc107495744"/>
      <w:r w:rsidRPr="00C87891">
        <w:lastRenderedPageBreak/>
        <w:t>Timeframe for changing the accounting data</w:t>
      </w:r>
      <w:bookmarkEnd w:id="140"/>
      <w:r w:rsidRPr="00C87891">
        <w:t xml:space="preserve"> </w:t>
      </w:r>
    </w:p>
    <w:p w14:paraId="7133C077" w14:textId="4B3F2637" w:rsidR="007D6EF5" w:rsidRPr="00E005A0" w:rsidRDefault="007D6EF5" w:rsidP="007D6EF5">
      <w:r w:rsidRPr="00C87891">
        <w:t xml:space="preserve">All </w:t>
      </w:r>
      <w:r w:rsidRPr="00E005A0">
        <w:t xml:space="preserve">substituted values and/or all already matched values can be changed until the end of the deadline of the </w:t>
      </w:r>
      <w:r w:rsidR="00AA3EB7" w:rsidRPr="00E005A0">
        <w:t xml:space="preserve">daily </w:t>
      </w:r>
      <w:r w:rsidR="008151B4" w:rsidRPr="00E005A0">
        <w:t>Accounting Process</w:t>
      </w:r>
      <w:r w:rsidRPr="00E005A0">
        <w:t xml:space="preserve"> (see </w:t>
      </w:r>
      <w:r w:rsidRPr="00E005A0">
        <w:fldChar w:fldCharType="begin"/>
      </w:r>
      <w:r w:rsidRPr="00E005A0">
        <w:instrText xml:space="preserve"> REF _Ref199583818 \r \h  \* MERGEFORMAT </w:instrText>
      </w:r>
      <w:r w:rsidRPr="00E005A0">
        <w:fldChar w:fldCharType="separate"/>
      </w:r>
      <w:r w:rsidR="00D26D46">
        <w:t>C-5-2</w:t>
      </w:r>
      <w:r w:rsidRPr="00E005A0">
        <w:fldChar w:fldCharType="end"/>
      </w:r>
      <w:r w:rsidRPr="00E005A0">
        <w:t xml:space="preserve">). After the end of the </w:t>
      </w:r>
      <w:r w:rsidR="00AA3EB7" w:rsidRPr="00E005A0">
        <w:t xml:space="preserve">monthly </w:t>
      </w:r>
      <w:r w:rsidR="00476E0E">
        <w:t>Settlement</w:t>
      </w:r>
      <w:r w:rsidR="00476E0E" w:rsidRPr="00E005A0">
        <w:t xml:space="preserve"> </w:t>
      </w:r>
      <w:r w:rsidR="008151B4" w:rsidRPr="00E005A0">
        <w:t>Process</w:t>
      </w:r>
      <w:r w:rsidRPr="00E005A0">
        <w:t xml:space="preserve">, the </w:t>
      </w:r>
      <w:r w:rsidR="008151B4" w:rsidRPr="00E005A0">
        <w:t>Accounting Data</w:t>
      </w:r>
      <w:r w:rsidRPr="00E005A0">
        <w:t xml:space="preserve"> cannot be changed anymore.</w:t>
      </w:r>
    </w:p>
    <w:p w14:paraId="696B7D01" w14:textId="337EB3B1" w:rsidR="004304BE" w:rsidRPr="00E005A0" w:rsidRDefault="004D51F1" w:rsidP="004304BE">
      <w:pPr>
        <w:pStyle w:val="Heading3"/>
      </w:pPr>
      <w:bookmarkStart w:id="141" w:name="_Toc85043895"/>
      <w:bookmarkStart w:id="142" w:name="_Ref515886661"/>
      <w:bookmarkStart w:id="143" w:name="_Toc107495745"/>
      <w:r w:rsidRPr="00E005A0">
        <w:t>Timeframe for changing the verified ANES</w:t>
      </w:r>
      <w:bookmarkEnd w:id="141"/>
      <w:bookmarkEnd w:id="142"/>
      <w:bookmarkEnd w:id="143"/>
    </w:p>
    <w:p w14:paraId="5BA77F3B" w14:textId="208975FA" w:rsidR="004304BE" w:rsidRPr="00E005A0" w:rsidRDefault="004304BE" w:rsidP="007D6EF5">
      <w:r w:rsidRPr="00E005A0">
        <w:t xml:space="preserve">The verified ANES </w:t>
      </w:r>
      <w:r w:rsidR="000E4915" w:rsidRPr="00E005A0">
        <w:t xml:space="preserve">can be changed by the concerned LFC </w:t>
      </w:r>
      <w:r w:rsidR="008151B4" w:rsidRPr="00E005A0">
        <w:t>Areas</w:t>
      </w:r>
      <w:r w:rsidR="000E4915" w:rsidRPr="00E005A0">
        <w:t xml:space="preserve"> until the end of the deadline of the </w:t>
      </w:r>
      <w:r w:rsidR="00AA3EB7" w:rsidRPr="00E005A0">
        <w:t xml:space="preserve">daily </w:t>
      </w:r>
      <w:r w:rsidR="008151B4" w:rsidRPr="00E005A0">
        <w:t>Accounting Process</w:t>
      </w:r>
      <w:r w:rsidR="000E4915" w:rsidRPr="00E005A0">
        <w:t xml:space="preserve"> (see </w:t>
      </w:r>
      <w:r w:rsidR="000E4915" w:rsidRPr="00E005A0">
        <w:fldChar w:fldCharType="begin"/>
      </w:r>
      <w:r w:rsidR="000E4915" w:rsidRPr="00E005A0">
        <w:instrText xml:space="preserve"> REF _Ref199583818 \r \h  \* MERGEFORMAT </w:instrText>
      </w:r>
      <w:r w:rsidR="000E4915" w:rsidRPr="00E005A0">
        <w:fldChar w:fldCharType="separate"/>
      </w:r>
      <w:r w:rsidR="00D26D46">
        <w:t>C-5-2</w:t>
      </w:r>
      <w:r w:rsidR="000E4915" w:rsidRPr="00E005A0">
        <w:fldChar w:fldCharType="end"/>
      </w:r>
      <w:r w:rsidR="000E4915" w:rsidRPr="00E005A0">
        <w:t xml:space="preserve">). In such cases, the concerned LFC </w:t>
      </w:r>
      <w:r w:rsidR="008151B4" w:rsidRPr="00E005A0">
        <w:t>Areas</w:t>
      </w:r>
      <w:r w:rsidR="000E4915" w:rsidRPr="00E005A0">
        <w:t xml:space="preserve"> </w:t>
      </w:r>
      <w:r w:rsidR="00651FBB" w:rsidRPr="00E005A0">
        <w:t>shall firstly i</w:t>
      </w:r>
      <w:r w:rsidR="000E4915" w:rsidRPr="00E005A0">
        <w:t xml:space="preserve">nform the respective </w:t>
      </w:r>
      <w:r w:rsidR="002E2691">
        <w:t>Coordination</w:t>
      </w:r>
      <w:r w:rsidR="008D666C">
        <w:t xml:space="preserve"> Centre</w:t>
      </w:r>
      <w:r w:rsidR="000755B5" w:rsidRPr="00E005A0">
        <w:t xml:space="preserve"> </w:t>
      </w:r>
      <w:r w:rsidR="000E4915" w:rsidRPr="00E005A0">
        <w:t xml:space="preserve">and then send their updated ANES to the Verification Platform. </w:t>
      </w:r>
      <w:r w:rsidR="00651FBB" w:rsidRPr="00E005A0">
        <w:t xml:space="preserve">The respective </w:t>
      </w:r>
      <w:r w:rsidR="002E2691">
        <w:t>Coordination</w:t>
      </w:r>
      <w:r w:rsidR="008D666C">
        <w:t xml:space="preserve"> Centre</w:t>
      </w:r>
      <w:r w:rsidR="000755B5" w:rsidRPr="00E005A0" w:rsidDel="000755B5">
        <w:t xml:space="preserve"> </w:t>
      </w:r>
      <w:r w:rsidR="00651FBB" w:rsidRPr="00E005A0">
        <w:t>will</w:t>
      </w:r>
      <w:r w:rsidR="000E4915" w:rsidRPr="00E005A0">
        <w:t xml:space="preserve"> then </w:t>
      </w:r>
      <w:r w:rsidR="00651FBB" w:rsidRPr="00E005A0">
        <w:t xml:space="preserve">manually export the updated and verified ANES, recalculate the </w:t>
      </w:r>
      <w:r w:rsidR="008151B4" w:rsidRPr="00E005A0">
        <w:t>Unintentional Deviations</w:t>
      </w:r>
      <w:r w:rsidR="00651FBB" w:rsidRPr="00E005A0">
        <w:t xml:space="preserve"> of the concerned LFC </w:t>
      </w:r>
      <w:r w:rsidR="008151B4" w:rsidRPr="00E005A0">
        <w:t>Blocks</w:t>
      </w:r>
      <w:r w:rsidR="00651FBB" w:rsidRPr="00E005A0">
        <w:t xml:space="preserve"> and resend the updated </w:t>
      </w:r>
      <w:r w:rsidR="0038046C" w:rsidRPr="00E005A0">
        <w:t>daily</w:t>
      </w:r>
      <w:r w:rsidR="00651FBB" w:rsidRPr="00E005A0">
        <w:t xml:space="preserve"> settlement report(s). After the end of the </w:t>
      </w:r>
      <w:r w:rsidR="00AA3EB7" w:rsidRPr="00E005A0">
        <w:t xml:space="preserve">monthly </w:t>
      </w:r>
      <w:r w:rsidR="008151B4" w:rsidRPr="00E005A0">
        <w:t>Accounting Process</w:t>
      </w:r>
      <w:r w:rsidR="00651FBB" w:rsidRPr="00E005A0">
        <w:t>, the verified ANES cannot be changed anymore.</w:t>
      </w:r>
    </w:p>
    <w:p w14:paraId="2E9BFAC7" w14:textId="1565D99F" w:rsidR="00476E0E" w:rsidRDefault="002F718B" w:rsidP="002F718B">
      <w:pPr>
        <w:pStyle w:val="Heading3"/>
      </w:pPr>
      <w:bookmarkStart w:id="144" w:name="_Toc107495746"/>
      <w:r w:rsidRPr="00E005A0">
        <w:t xml:space="preserve">Timeframe for changing </w:t>
      </w:r>
      <w:r w:rsidR="00476E0E">
        <w:t>other inputs</w:t>
      </w:r>
      <w:bookmarkEnd w:id="144"/>
    </w:p>
    <w:p w14:paraId="43C8DB8A" w14:textId="6038F89D" w:rsidR="00096295" w:rsidRPr="00E005A0" w:rsidRDefault="00476E0E" w:rsidP="00632FF6">
      <w:r>
        <w:t xml:space="preserve">K-factors, frequency deviation and </w:t>
      </w:r>
      <w:r w:rsidR="009811C0">
        <w:t>Day-Ahead Market Prices (DAMPs)</w:t>
      </w:r>
      <w:r w:rsidRPr="00E005A0">
        <w:t xml:space="preserve"> can be changed until the end of the deadline of the daily Accounting </w:t>
      </w:r>
      <w:r>
        <w:t>Process</w:t>
      </w:r>
      <w:r w:rsidRPr="00E005A0">
        <w:t xml:space="preserve">. After the end of the monthly </w:t>
      </w:r>
      <w:r>
        <w:t>Settlement</w:t>
      </w:r>
      <w:r w:rsidRPr="00E005A0">
        <w:t xml:space="preserve"> Process</w:t>
      </w:r>
      <w:r>
        <w:t xml:space="preserve">, these data </w:t>
      </w:r>
      <w:r w:rsidRPr="00E005A0">
        <w:t>cannot be changed anymore.</w:t>
      </w:r>
    </w:p>
    <w:p w14:paraId="4779BA28" w14:textId="6F75078E" w:rsidR="002F718B" w:rsidRPr="00632FF6" w:rsidRDefault="002F718B" w:rsidP="002F718B">
      <w:r w:rsidRPr="00632FF6">
        <w:t xml:space="preserve">In case a TSO verifies a mismatch of </w:t>
      </w:r>
      <w:r w:rsidR="009E035E" w:rsidRPr="00632FF6">
        <w:t>its DAMP</w:t>
      </w:r>
      <w:r w:rsidRPr="00632FF6">
        <w:t xml:space="preserve">, </w:t>
      </w:r>
      <w:r w:rsidR="00DE3529" w:rsidRPr="00632FF6">
        <w:t>t</w:t>
      </w:r>
      <w:r w:rsidRPr="00632FF6">
        <w:t xml:space="preserve">he </w:t>
      </w:r>
      <w:r w:rsidR="00DE3529" w:rsidRPr="00632FF6">
        <w:t>TSO</w:t>
      </w:r>
      <w:r w:rsidRPr="00632FF6">
        <w:t xml:space="preserve"> </w:t>
      </w:r>
      <w:r w:rsidR="00DE3529" w:rsidRPr="00632FF6">
        <w:t xml:space="preserve">immediately </w:t>
      </w:r>
      <w:r w:rsidR="009E035E" w:rsidRPr="00632FF6">
        <w:t xml:space="preserve">informs the </w:t>
      </w:r>
      <w:r w:rsidR="002E2691">
        <w:t>Coordination</w:t>
      </w:r>
      <w:r w:rsidR="009E035E" w:rsidRPr="00632FF6">
        <w:t xml:space="preserve"> Centre</w:t>
      </w:r>
      <w:r w:rsidR="00DE3529" w:rsidRPr="00632FF6">
        <w:t xml:space="preserve"> </w:t>
      </w:r>
      <w:r w:rsidR="009E035E" w:rsidRPr="00632FF6">
        <w:t>and submits a new DAMP document within the given deadline of 4 working days.</w:t>
      </w:r>
      <w:r w:rsidRPr="00632FF6">
        <w:t xml:space="preserve"> After the </w:t>
      </w:r>
      <w:r w:rsidR="00DE3529" w:rsidRPr="00632FF6">
        <w:t xml:space="preserve">validation of </w:t>
      </w:r>
      <w:r w:rsidR="009E035E" w:rsidRPr="00632FF6">
        <w:t>t</w:t>
      </w:r>
      <w:r w:rsidR="00DE3529" w:rsidRPr="00632FF6">
        <w:t>he</w:t>
      </w:r>
      <w:r w:rsidRPr="00632FF6">
        <w:t xml:space="preserve"> monthly </w:t>
      </w:r>
      <w:r w:rsidR="00DE3529" w:rsidRPr="00632FF6">
        <w:t>settlement report</w:t>
      </w:r>
      <w:r w:rsidRPr="00632FF6">
        <w:t xml:space="preserve">, the </w:t>
      </w:r>
      <w:r w:rsidR="009E035E" w:rsidRPr="00632FF6">
        <w:t>DAMP</w:t>
      </w:r>
      <w:r w:rsidRPr="00632FF6">
        <w:t xml:space="preserve"> cannot be changed anymore.</w:t>
      </w:r>
    </w:p>
    <w:p w14:paraId="563CCA35" w14:textId="77777777" w:rsidR="002F718B" w:rsidRPr="002C2863" w:rsidRDefault="002F718B">
      <w:pPr>
        <w:jc w:val="left"/>
        <w:rPr>
          <w:highlight w:val="yellow"/>
        </w:rPr>
      </w:pPr>
      <w:r w:rsidRPr="002C2863">
        <w:rPr>
          <w:highlight w:val="yellow"/>
        </w:rPr>
        <w:br w:type="page"/>
      </w:r>
    </w:p>
    <w:p w14:paraId="0B9B268F" w14:textId="77777777" w:rsidR="00060F52" w:rsidRDefault="00060F52" w:rsidP="00443483">
      <w:pPr>
        <w:pStyle w:val="Heading2"/>
      </w:pPr>
      <w:bookmarkStart w:id="145" w:name="_Toc54000751"/>
      <w:bookmarkStart w:id="146" w:name="_Ref62127578"/>
      <w:bookmarkStart w:id="147" w:name="_Toc107495747"/>
      <w:bookmarkEnd w:id="145"/>
      <w:r w:rsidRPr="00C87891">
        <w:lastRenderedPageBreak/>
        <w:t>Entities</w:t>
      </w:r>
      <w:bookmarkEnd w:id="146"/>
      <w:bookmarkEnd w:id="147"/>
    </w:p>
    <w:p w14:paraId="0B5F96CD" w14:textId="6277C81A" w:rsidR="009F2514" w:rsidRDefault="009F2514" w:rsidP="00A36536"/>
    <w:p w14:paraId="09AF8016" w14:textId="2844760C" w:rsidR="00A36536" w:rsidRDefault="00A36536" w:rsidP="00A36536">
      <w:r>
        <w:t xml:space="preserve">In accordance with Article 3 (2) of the approved </w:t>
      </w:r>
      <w:r w:rsidRPr="00B21DF6">
        <w:t>proposal for common settlement rules applicable to all unintended exchanges of energy</w:t>
      </w:r>
      <w:r>
        <w:t xml:space="preserve"> (</w:t>
      </w:r>
      <w:r w:rsidR="00A4524A">
        <w:t>“</w:t>
      </w:r>
      <w:r>
        <w:t>CCU</w:t>
      </w:r>
      <w:r w:rsidR="00A4524A">
        <w:t>”</w:t>
      </w:r>
      <w:r>
        <w:t>) according to Article 51.1, as well as the approved proposal for common settlement rules applicable to the intended exchanges of energy as a result of the frequency containment process and ramping periods (</w:t>
      </w:r>
      <w:r w:rsidR="00A4524A">
        <w:t>“</w:t>
      </w:r>
      <w:r>
        <w:t>CCFR</w:t>
      </w:r>
      <w:r w:rsidR="00A4524A">
        <w:t>”</w:t>
      </w:r>
      <w:r>
        <w:t xml:space="preserve">) according to Article 50.3 of </w:t>
      </w:r>
      <w:r w:rsidRPr="00B21DF6">
        <w:t>COMMISSION REGULATION (EU) 2017/2195 of 23 November 2017 establishing a guideline on electricity balancing</w:t>
      </w:r>
      <w:r>
        <w:t>, the entities entrusted with the CCU and CCFR accounting function and the CCU and CCFR settlement function (</w:t>
      </w:r>
      <w:r w:rsidR="002E2691">
        <w:t>Coordination</w:t>
      </w:r>
      <w:r>
        <w:t xml:space="preserve"> Centres ) designated by all SA CE TSOs are:</w:t>
      </w:r>
    </w:p>
    <w:p w14:paraId="35E1D4CA" w14:textId="77777777" w:rsidR="009F2514" w:rsidRDefault="009F2514" w:rsidP="009F2514">
      <w:pPr>
        <w:pStyle w:val="ListParagraph"/>
        <w:numPr>
          <w:ilvl w:val="0"/>
          <w:numId w:val="71"/>
        </w:numPr>
      </w:pPr>
      <w:r>
        <w:t>Amprion GmbH, for the northern block of SA CE and</w:t>
      </w:r>
    </w:p>
    <w:p w14:paraId="33AD1729" w14:textId="77777777" w:rsidR="009F2514" w:rsidRDefault="009F2514" w:rsidP="009F2514">
      <w:pPr>
        <w:pStyle w:val="ListParagraph"/>
        <w:numPr>
          <w:ilvl w:val="0"/>
          <w:numId w:val="71"/>
        </w:numPr>
      </w:pPr>
      <w:r>
        <w:t>Swissgrid AG, for the southern block of SA CE.</w:t>
      </w:r>
    </w:p>
    <w:p w14:paraId="7165CEE6" w14:textId="4B5550CC" w:rsidR="00DF6038" w:rsidRDefault="00F25F5E" w:rsidP="5BCF031F">
      <w:r>
        <w:t>For settlement tasks, both entities will share the tasks according to the Implementation Guide.</w:t>
      </w:r>
    </w:p>
    <w:p w14:paraId="59207A15" w14:textId="1D1F9864" w:rsidR="009F2514" w:rsidRDefault="009F2514" w:rsidP="7F985406">
      <w:r>
        <w:t>The entity entrusted with the invoicing task (Invoicing Entity) designated by all SA CE TSOs in accordance with Article 3 (2) of the approved proposal for common settlement rules applicable to all unintended exchanges of energy according to Article 51.1 of COMMISSION REGULATION (EU) 2017/2195 of 23 November 2017 establishing a guideline on electricity balancing</w:t>
      </w:r>
      <w:r w:rsidR="030129D9">
        <w:t>, as well as the approved proposal for common settlement rules applicable to the intended exchanges of energy as a result of the frequency containment process and ramping periods (“CCFR”) according to Article 50.3 of COMMISSION REGULATION (EU) 2017/2195 of 23 November 2017 establishing a guideline on electricity balancing</w:t>
      </w:r>
      <w:r>
        <w:t xml:space="preserve"> is </w:t>
      </w:r>
    </w:p>
    <w:p w14:paraId="589D9FB0" w14:textId="02156A1E" w:rsidR="007D44D9" w:rsidRDefault="007D44D9" w:rsidP="5BCF031F">
      <w:pPr>
        <w:pStyle w:val="ListParagraph"/>
        <w:numPr>
          <w:ilvl w:val="0"/>
          <w:numId w:val="71"/>
        </w:numPr>
      </w:pPr>
      <w:r>
        <w:t>JAO S.A.</w:t>
      </w:r>
    </w:p>
    <w:p w14:paraId="5E644837" w14:textId="61D8B1DD" w:rsidR="009F2514" w:rsidRDefault="009F2514" w:rsidP="009F2514"/>
    <w:p w14:paraId="6AE91F27" w14:textId="7FF5FD15" w:rsidR="009F2514" w:rsidRPr="00043DFD" w:rsidRDefault="009F2514" w:rsidP="009F2514">
      <w:r>
        <w:t>The performance of services through the Invoicing Entity with corresponding service levels and service fees shall be regulated in a separate agreement with the appointed Invoicing Entity.</w:t>
      </w:r>
    </w:p>
    <w:p w14:paraId="1AE12BA4" w14:textId="4E2930E0" w:rsidR="00043DFD" w:rsidRPr="00043DFD" w:rsidRDefault="00043DFD" w:rsidP="00043DFD"/>
    <w:p w14:paraId="016EE9FD" w14:textId="77777777" w:rsidR="009F2514" w:rsidRDefault="009F2514" w:rsidP="00074201">
      <w:pPr>
        <w:pStyle w:val="Heading2"/>
      </w:pPr>
      <w:bookmarkStart w:id="148" w:name="_Toc85043898"/>
      <w:bookmarkStart w:id="149" w:name="_Ref55547602"/>
      <w:bookmarkStart w:id="150" w:name="_Ref55910856"/>
      <w:bookmarkStart w:id="151" w:name="_Toc107495748"/>
      <w:r>
        <w:t>Remuneration</w:t>
      </w:r>
      <w:bookmarkEnd w:id="151"/>
      <w:r>
        <w:t xml:space="preserve"> </w:t>
      </w:r>
      <w:bookmarkEnd w:id="148"/>
    </w:p>
    <w:p w14:paraId="50977EB2" w14:textId="1AFB034B" w:rsidR="007B3AE1" w:rsidRDefault="00E16283" w:rsidP="00A263F1">
      <w:r>
        <w:t xml:space="preserve">The TSOs shall reimburse the following costs incurred by the </w:t>
      </w:r>
      <w:r w:rsidR="002E2691">
        <w:t>Coordination</w:t>
      </w:r>
      <w:r>
        <w:t xml:space="preserve"> Centres</w:t>
      </w:r>
      <w:r w:rsidR="00E063A5">
        <w:t>.</w:t>
      </w:r>
    </w:p>
    <w:p w14:paraId="198BFAE3" w14:textId="2898186D" w:rsidR="267BE37B" w:rsidRDefault="267BE37B" w:rsidP="384D70B8">
      <w:r>
        <w:t xml:space="preserve">Amprion, as the </w:t>
      </w:r>
      <w:r w:rsidR="002E2691">
        <w:t>Coordination</w:t>
      </w:r>
      <w:r>
        <w:t xml:space="preserve"> Centre for the northern block of SA CE shall invoice</w:t>
      </w:r>
      <w:r w:rsidR="001C626E">
        <w:t xml:space="preserve"> APG, Elia,  </w:t>
      </w:r>
      <w:r w:rsidR="001C626E" w:rsidRPr="00F07EAC">
        <w:t>ČEPS, Energinet</w:t>
      </w:r>
      <w:r w:rsidR="001C626E">
        <w:t xml:space="preserve">, TenneT Germany, TransnetBW, 50Hertz, MAVIR, Creos, TenneT NL, PSE, Transelectrica, SEPS and Ukrenergo, according to the distribution table below. </w:t>
      </w:r>
      <w:r>
        <w:t xml:space="preserve">Swissgrid, as the </w:t>
      </w:r>
      <w:r w:rsidR="002E2691">
        <w:t>Coordination</w:t>
      </w:r>
      <w:r>
        <w:t xml:space="preserve"> Centre for the southern block of SA CE shall invoice</w:t>
      </w:r>
      <w:r w:rsidR="001C626E">
        <w:t xml:space="preserve"> OST, NOSBiH, HOPS, RTE, IPTO, Terna, MEPSO, CGES, REN, EMS, ELES, REE, KOSTT and TEIAS, according to the distribution table below.</w:t>
      </w:r>
    </w:p>
    <w:p w14:paraId="4F352384" w14:textId="5C82BFED" w:rsidR="001C626E" w:rsidRDefault="001C626E" w:rsidP="384D70B8">
      <w:r>
        <w:t xml:space="preserve">The total </w:t>
      </w:r>
      <w:r w:rsidR="00212B0C">
        <w:t>reimbursement</w:t>
      </w:r>
      <w:r>
        <w:t xml:space="preserve"> </w:t>
      </w:r>
      <w:r w:rsidR="00212B0C">
        <w:t>is shared equally by</w:t>
      </w:r>
      <w:r>
        <w:t xml:space="preserve"> </w:t>
      </w:r>
      <w:r w:rsidR="00212B0C">
        <w:t>Amprion and Swissgrid.</w:t>
      </w:r>
    </w:p>
    <w:p w14:paraId="2FDBEFB0" w14:textId="6FD079EE" w:rsidR="00E16283" w:rsidRDefault="003B630A" w:rsidP="00A263F1">
      <w:r>
        <w:t xml:space="preserve">There are two types of costs: set-up costs which occur only once and operational costs which will be </w:t>
      </w:r>
      <w:r w:rsidR="009F2514">
        <w:t>reimbursed on a yearly basis. The costs are shared according to the cost sharing principles of EBGL Article 23(3).</w:t>
      </w:r>
    </w:p>
    <w:p w14:paraId="5C196AB0" w14:textId="54D66AE6" w:rsidR="002A7C28" w:rsidRPr="00A263F1" w:rsidRDefault="002A7C28" w:rsidP="00F07EAC">
      <w:pPr>
        <w:pStyle w:val="Caption"/>
        <w:jc w:val="both"/>
        <w:rPr>
          <w:rFonts w:ascii="Arial" w:hAnsi="Arial" w:cs="Arial"/>
        </w:rPr>
      </w:pPr>
    </w:p>
    <w:tbl>
      <w:tblPr>
        <w:tblW w:w="7792" w:type="dxa"/>
        <w:tblCellMar>
          <w:left w:w="70" w:type="dxa"/>
          <w:right w:w="70" w:type="dxa"/>
        </w:tblCellMar>
        <w:tblLook w:val="04A0" w:firstRow="1" w:lastRow="0" w:firstColumn="1" w:lastColumn="0" w:noHBand="0" w:noVBand="1"/>
      </w:tblPr>
      <w:tblGrid>
        <w:gridCol w:w="2145"/>
        <w:gridCol w:w="3804"/>
        <w:gridCol w:w="1843"/>
      </w:tblGrid>
      <w:tr w:rsidR="009F2514" w:rsidRPr="001C626E" w14:paraId="45C30D50" w14:textId="77777777" w:rsidTr="00F07EAC">
        <w:trPr>
          <w:trHeight w:val="289"/>
        </w:trPr>
        <w:tc>
          <w:tcPr>
            <w:tcW w:w="77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BBB59" w:themeFill="accent3"/>
            <w:vAlign w:val="center"/>
          </w:tcPr>
          <w:p w14:paraId="202BA76F" w14:textId="1DC6A308" w:rsidR="009F2514" w:rsidRPr="00F07EAC" w:rsidRDefault="009F2514" w:rsidP="384D70B8">
            <w:pPr>
              <w:jc w:val="center"/>
              <w:rPr>
                <w:rFonts w:asciiTheme="majorHAnsi" w:eastAsia="Times New Roman" w:hAnsiTheme="majorHAnsi" w:cstheme="majorHAnsi"/>
                <w:b/>
                <w:bCs/>
                <w:color w:val="000000"/>
                <w:lang w:eastAsia="de-DE"/>
              </w:rPr>
            </w:pPr>
            <w:r w:rsidRPr="00F07EAC">
              <w:rPr>
                <w:rFonts w:asciiTheme="majorHAnsi" w:hAnsiTheme="majorHAnsi" w:cstheme="majorHAnsi"/>
                <w:b/>
                <w:bCs/>
                <w:color w:val="000000" w:themeColor="text1"/>
              </w:rPr>
              <w:t>One-Time Costs for implementation</w:t>
            </w:r>
          </w:p>
        </w:tc>
      </w:tr>
      <w:tr w:rsidR="009F2514" w:rsidRPr="001C626E" w14:paraId="6FC73285" w14:textId="77777777" w:rsidTr="00F07EAC">
        <w:trPr>
          <w:trHeight w:val="290"/>
        </w:trPr>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hideMark/>
          </w:tcPr>
          <w:p w14:paraId="49AB3B28" w14:textId="73DD08A6" w:rsidR="009F2514" w:rsidRPr="00F07EAC" w:rsidRDefault="009F2514" w:rsidP="384D70B8">
            <w:pPr>
              <w:rPr>
                <w:rFonts w:asciiTheme="majorHAnsi" w:hAnsiTheme="majorHAnsi" w:cstheme="majorHAnsi"/>
                <w:b/>
                <w:bCs/>
              </w:rPr>
            </w:pPr>
            <w:r w:rsidRPr="00F07EAC">
              <w:rPr>
                <w:rFonts w:asciiTheme="majorHAnsi" w:hAnsiTheme="majorHAnsi" w:cstheme="majorHAnsi"/>
                <w:b/>
                <w:bCs/>
              </w:rPr>
              <w:t>Costs (EUR)</w:t>
            </w:r>
          </w:p>
        </w:tc>
        <w:tc>
          <w:tcPr>
            <w:tcW w:w="3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9093BAE" w14:textId="77777777" w:rsidR="009F2514" w:rsidRPr="00F07EAC" w:rsidRDefault="009F2514" w:rsidP="009F2514">
            <w:pPr>
              <w:rPr>
                <w:rFonts w:asciiTheme="majorHAnsi" w:hAnsiTheme="majorHAnsi" w:cstheme="majorHAnsi"/>
                <w:b/>
              </w:rPr>
            </w:pPr>
            <w:r w:rsidRPr="00F07EAC">
              <w:rPr>
                <w:rFonts w:asciiTheme="majorHAnsi" w:hAnsiTheme="majorHAnsi" w:cstheme="majorHAnsi"/>
                <w:b/>
              </w:rPr>
              <w:t>Participants</w:t>
            </w:r>
          </w:p>
        </w:tc>
        <w:tc>
          <w:tcPr>
            <w:tcW w:w="18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2EFDA"/>
            <w:vAlign w:val="bottom"/>
            <w:hideMark/>
          </w:tcPr>
          <w:p w14:paraId="02436D5D" w14:textId="1D3097B1" w:rsidR="009F2514" w:rsidRPr="00F07EAC" w:rsidRDefault="009F2514" w:rsidP="384D70B8">
            <w:pPr>
              <w:rPr>
                <w:rFonts w:asciiTheme="majorHAnsi" w:hAnsiTheme="majorHAnsi" w:cstheme="majorHAnsi"/>
                <w:b/>
                <w:bCs/>
              </w:rPr>
            </w:pPr>
            <w:r w:rsidRPr="00F07EAC">
              <w:rPr>
                <w:rFonts w:asciiTheme="majorHAnsi" w:hAnsiTheme="majorHAnsi" w:cstheme="majorHAnsi"/>
                <w:b/>
                <w:bCs/>
              </w:rPr>
              <w:t>Costs (EUR)</w:t>
            </w:r>
            <w:r w:rsidR="400AF69B" w:rsidRPr="00F07EAC">
              <w:rPr>
                <w:rFonts w:asciiTheme="majorHAnsi" w:hAnsiTheme="majorHAnsi" w:cstheme="majorHAnsi"/>
                <w:b/>
                <w:bCs/>
              </w:rPr>
              <w:t xml:space="preserve"> excl. VAT</w:t>
            </w:r>
          </w:p>
        </w:tc>
      </w:tr>
      <w:tr w:rsidR="00436342" w:rsidRPr="001C626E" w14:paraId="28875F28" w14:textId="77777777" w:rsidTr="00F07EAC">
        <w:trPr>
          <w:trHeight w:val="300"/>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5823763" w14:textId="5D0BC8D7" w:rsidR="00436342" w:rsidRPr="00F07EAC" w:rsidRDefault="00436342" w:rsidP="00436342">
            <w:pPr>
              <w:spacing w:after="0" w:line="240" w:lineRule="auto"/>
              <w:jc w:val="left"/>
              <w:rPr>
                <w:rFonts w:asciiTheme="majorHAnsi" w:eastAsia="Times New Roman" w:hAnsiTheme="majorHAnsi" w:cstheme="majorHAnsi"/>
                <w:lang w:eastAsia="de-DE"/>
              </w:rPr>
            </w:pPr>
            <w:r w:rsidRPr="00F07EAC">
              <w:rPr>
                <w:rFonts w:asciiTheme="majorHAnsi" w:hAnsiTheme="majorHAnsi" w:cstheme="majorHAnsi"/>
              </w:rPr>
              <w:t>Albania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F93B823" w14:textId="2A8FFEA0" w:rsidR="00436342" w:rsidRPr="00F07EAC" w:rsidRDefault="00436342" w:rsidP="00436342">
            <w:pPr>
              <w:spacing w:after="0" w:line="240" w:lineRule="auto"/>
              <w:jc w:val="left"/>
              <w:rPr>
                <w:rFonts w:asciiTheme="majorHAnsi" w:eastAsia="Times New Roman" w:hAnsiTheme="majorHAnsi" w:cstheme="majorHAnsi"/>
                <w:lang w:eastAsia="de-DE"/>
              </w:rPr>
            </w:pPr>
            <w:r w:rsidRPr="00F07EAC">
              <w:rPr>
                <w:rFonts w:asciiTheme="majorHAnsi" w:hAnsiTheme="majorHAnsi" w:cstheme="majorHAnsi"/>
              </w:rPr>
              <w:t>OST</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10C1B7C" w14:textId="54C43C92" w:rsidR="00436342" w:rsidRPr="00F07EAC" w:rsidRDefault="00436342" w:rsidP="00436342">
            <w:pPr>
              <w:spacing w:after="0" w:line="240" w:lineRule="auto"/>
              <w:jc w:val="left"/>
              <w:rPr>
                <w:rFonts w:asciiTheme="majorHAnsi" w:eastAsia="Times New Roman" w:hAnsiTheme="majorHAnsi" w:cstheme="majorHAnsi"/>
                <w:b/>
                <w:bCs/>
                <w:color w:val="000000"/>
                <w:lang w:eastAsia="de-DE"/>
              </w:rPr>
            </w:pPr>
            <w:r w:rsidRPr="00F07EAC">
              <w:rPr>
                <w:rFonts w:asciiTheme="majorHAnsi" w:hAnsiTheme="majorHAnsi" w:cstheme="majorHAnsi"/>
              </w:rPr>
              <w:t xml:space="preserve"> 2.181,43    </w:t>
            </w:r>
          </w:p>
        </w:tc>
      </w:tr>
      <w:tr w:rsidR="00436342" w:rsidRPr="001C626E" w14:paraId="157C91BB"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C5A45B7" w14:textId="25B336EE" w:rsidR="00436342" w:rsidRPr="00F07EAC" w:rsidRDefault="00436342" w:rsidP="00436342">
            <w:pPr>
              <w:spacing w:after="0" w:line="240" w:lineRule="auto"/>
              <w:jc w:val="left"/>
              <w:rPr>
                <w:rFonts w:asciiTheme="majorHAnsi" w:eastAsia="Times New Roman" w:hAnsiTheme="majorHAnsi" w:cstheme="majorHAnsi"/>
                <w:lang w:eastAsia="de-DE"/>
              </w:rPr>
            </w:pPr>
            <w:r w:rsidRPr="00F07EAC">
              <w:rPr>
                <w:rFonts w:asciiTheme="majorHAnsi" w:hAnsiTheme="majorHAnsi" w:cstheme="majorHAnsi"/>
              </w:rPr>
              <w:t xml:space="preserve">Austria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31628F" w14:textId="29BE12CF" w:rsidR="00436342" w:rsidRPr="00F07EAC" w:rsidRDefault="00436342" w:rsidP="00436342">
            <w:pPr>
              <w:spacing w:after="0" w:line="240" w:lineRule="auto"/>
              <w:jc w:val="left"/>
              <w:rPr>
                <w:rFonts w:asciiTheme="majorHAnsi" w:eastAsia="Times New Roman" w:hAnsiTheme="majorHAnsi" w:cstheme="majorHAnsi"/>
                <w:lang w:val="en-US" w:eastAsia="de-DE"/>
              </w:rPr>
            </w:pPr>
            <w:r w:rsidRPr="00F07EAC">
              <w:rPr>
                <w:rFonts w:asciiTheme="majorHAnsi" w:hAnsiTheme="majorHAnsi" w:cstheme="majorHAnsi"/>
              </w:rPr>
              <w:t xml:space="preserve">APG - Austrian Power Grid AG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79EE324" w14:textId="7B2A335B"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4.172,07    </w:t>
            </w:r>
          </w:p>
        </w:tc>
      </w:tr>
      <w:tr w:rsidR="00436342" w:rsidRPr="001C626E" w14:paraId="11C00955"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6EF6881" w14:textId="5FEF8C25"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Belgium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9891833" w14:textId="0476381F" w:rsidR="00436342" w:rsidRPr="00F07EAC" w:rsidRDefault="00436342" w:rsidP="00436342">
            <w:pPr>
              <w:spacing w:after="0" w:line="240" w:lineRule="auto"/>
              <w:jc w:val="left"/>
              <w:rPr>
                <w:rFonts w:asciiTheme="majorHAnsi" w:eastAsia="Times New Roman" w:hAnsiTheme="majorHAnsi" w:cstheme="majorHAnsi"/>
                <w:lang w:val="en-US" w:eastAsia="de-DE"/>
              </w:rPr>
            </w:pPr>
            <w:r w:rsidRPr="00F07EAC">
              <w:rPr>
                <w:rFonts w:asciiTheme="majorHAnsi" w:hAnsiTheme="majorHAnsi" w:cstheme="majorHAnsi"/>
              </w:rPr>
              <w:t xml:space="preserve">Elia - Elia System Operator SA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B720F40" w14:textId="2F68EB7F"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4.810,18    </w:t>
            </w:r>
          </w:p>
        </w:tc>
      </w:tr>
      <w:tr w:rsidR="00436342" w:rsidRPr="001C626E" w14:paraId="6764E4DD"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F32B7C1" w14:textId="511D8BD2"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Bosnia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7C03198" w14:textId="10C4B5F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Nezavisni Operator Sistema</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33B5CD4" w14:textId="33D056B8"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2.361,60    </w:t>
            </w:r>
          </w:p>
        </w:tc>
      </w:tr>
      <w:tr w:rsidR="00436342" w:rsidRPr="001C626E" w14:paraId="6185C069"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4ACE6CD" w14:textId="46A3C892"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Bulgaria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81F0B42" w14:textId="4628E292"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Elektroenergien Sistemen Operator</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79FFB312" w14:textId="1FD05A2E"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3.019,07    </w:t>
            </w:r>
          </w:p>
        </w:tc>
      </w:tr>
      <w:tr w:rsidR="00436342" w:rsidRPr="001C626E" w14:paraId="40E744A8"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333542F" w14:textId="35DC381A"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Croatia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3317953" w14:textId="76B6B28A" w:rsidR="00436342" w:rsidRPr="00F07EAC" w:rsidRDefault="00436342" w:rsidP="00436342">
            <w:pPr>
              <w:spacing w:after="0" w:line="240" w:lineRule="auto"/>
              <w:jc w:val="left"/>
              <w:rPr>
                <w:rFonts w:asciiTheme="majorHAnsi" w:eastAsia="Times New Roman" w:hAnsiTheme="majorHAnsi" w:cstheme="majorHAnsi"/>
                <w:lang w:val="en-US" w:eastAsia="de-DE"/>
              </w:rPr>
            </w:pPr>
            <w:r w:rsidRPr="00F07EAC">
              <w:rPr>
                <w:rFonts w:asciiTheme="majorHAnsi" w:hAnsiTheme="majorHAnsi" w:cstheme="majorHAnsi"/>
              </w:rPr>
              <w:t>HOPS - Croatian Transmission System</w:t>
            </w:r>
            <w:r w:rsidRPr="00F07EAC">
              <w:rPr>
                <w:rFonts w:asciiTheme="majorHAnsi" w:hAnsiTheme="majorHAnsi" w:cstheme="majorHAnsi"/>
              </w:rPr>
              <w:br/>
              <w:t>Operator Ltd</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C082E5B" w14:textId="39A2EFAC"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2.523,74    </w:t>
            </w:r>
          </w:p>
        </w:tc>
      </w:tr>
      <w:tr w:rsidR="00436342" w:rsidRPr="001C626E" w14:paraId="2536DFEB"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41B495" w14:textId="14C9D18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Czech Republic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AB9598D" w14:textId="5C27FFDA"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ČEPS - ČEPS, a.s.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3AD2A28" w14:textId="0C84D3E5"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3.978,78    </w:t>
            </w:r>
          </w:p>
        </w:tc>
      </w:tr>
      <w:tr w:rsidR="00436342" w:rsidRPr="001C626E" w14:paraId="0C318DC2"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5390913" w14:textId="4442EA4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Denmark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81DF485" w14:textId="60CBC9C2" w:rsidR="00436342" w:rsidRPr="00F07EAC" w:rsidRDefault="00436342" w:rsidP="00436342">
            <w:pPr>
              <w:spacing w:after="0" w:line="240" w:lineRule="auto"/>
              <w:jc w:val="left"/>
              <w:rPr>
                <w:rFonts w:asciiTheme="majorHAnsi" w:eastAsia="Times New Roman" w:hAnsiTheme="majorHAnsi" w:cstheme="majorHAnsi"/>
                <w:lang w:val="en-US" w:eastAsia="de-DE"/>
              </w:rPr>
            </w:pPr>
            <w:r w:rsidRPr="00F07EAC">
              <w:rPr>
                <w:rFonts w:asciiTheme="majorHAnsi" w:hAnsiTheme="majorHAnsi" w:cstheme="majorHAnsi"/>
              </w:rPr>
              <w:t xml:space="preserve">Energinet.dk IPC - Energinet.dk Independent Power Entreprise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703A6B41" w14:textId="2761B496"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1.750,55    </w:t>
            </w:r>
          </w:p>
        </w:tc>
      </w:tr>
      <w:tr w:rsidR="00436342" w:rsidRPr="001C626E" w14:paraId="77DCF390"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41809BD" w14:textId="00E9A52C"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France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93A95B1" w14:textId="1ED54A2D" w:rsidR="00436342" w:rsidRPr="00C151BB" w:rsidRDefault="00436342" w:rsidP="00436342">
            <w:pPr>
              <w:spacing w:after="0" w:line="240" w:lineRule="auto"/>
              <w:jc w:val="left"/>
              <w:rPr>
                <w:rFonts w:asciiTheme="majorHAnsi" w:eastAsia="Times New Roman" w:hAnsiTheme="majorHAnsi" w:cstheme="majorHAnsi"/>
                <w:lang w:val="fr-BE" w:eastAsia="de-DE"/>
              </w:rPr>
            </w:pPr>
            <w:r w:rsidRPr="00C151BB">
              <w:rPr>
                <w:rFonts w:asciiTheme="majorHAnsi" w:hAnsiTheme="majorHAnsi" w:cstheme="majorHAnsi"/>
                <w:lang w:val="fr-BE"/>
              </w:rPr>
              <w:t xml:space="preserve">RTE - Réseau de Transport d'electricité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78D6EB6" w14:textId="20D150D3"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C151BB">
              <w:rPr>
                <w:rFonts w:asciiTheme="majorHAnsi" w:hAnsiTheme="majorHAnsi" w:cstheme="majorHAnsi"/>
                <w:lang w:val="fr-BE"/>
              </w:rPr>
              <w:t xml:space="preserve"> </w:t>
            </w:r>
            <w:r w:rsidRPr="00F07EAC">
              <w:rPr>
                <w:rFonts w:asciiTheme="majorHAnsi" w:hAnsiTheme="majorHAnsi" w:cstheme="majorHAnsi"/>
              </w:rPr>
              <w:t xml:space="preserve">17.073,56    </w:t>
            </w:r>
          </w:p>
        </w:tc>
      </w:tr>
      <w:tr w:rsidR="00436342" w:rsidRPr="001C626E" w14:paraId="2CAFF21C"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278C509" w14:textId="1D19687A"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Germany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E2BCF80" w14:textId="37C52FB2"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Amprion - Amprion GmbH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1C42444" w14:textId="0BC4F1E5"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8.189,97    </w:t>
            </w:r>
          </w:p>
        </w:tc>
      </w:tr>
      <w:tr w:rsidR="00436342" w:rsidRPr="001C626E" w14:paraId="3CB4495E"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4E7F8DB" w14:textId="443C2A41"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Germany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242DDDA" w14:textId="42E5128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TenneT GER – Tennet TSO GmbH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A45A413" w14:textId="699A70B2"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6.905,26    </w:t>
            </w:r>
          </w:p>
        </w:tc>
      </w:tr>
      <w:tr w:rsidR="00436342" w:rsidRPr="001C626E" w14:paraId="1B3D01DA"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B6F6B2B" w14:textId="23B3A985"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Germany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C6F5086" w14:textId="1A2F3F08"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TransnetBW -TransnetBW GmbH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57100EB" w14:textId="56ECD20A"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3.694,82    </w:t>
            </w:r>
          </w:p>
        </w:tc>
      </w:tr>
      <w:tr w:rsidR="00436342" w:rsidRPr="001C626E" w14:paraId="720F9F23"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E7CD0CE" w14:textId="10B4EBF0"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Germany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56322AF" w14:textId="70BF4815"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50Hertz - 50Hertz Transmission GmbH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7368817" w14:textId="5920E11D"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4.996,03    </w:t>
            </w:r>
          </w:p>
        </w:tc>
      </w:tr>
      <w:tr w:rsidR="00436342" w:rsidRPr="001C626E" w14:paraId="07A08CBA"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58F82D" w14:textId="3C02B4C1"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Greece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35B6EE" w14:textId="48F457C0" w:rsidR="00436342" w:rsidRPr="00F07EAC" w:rsidRDefault="00436342" w:rsidP="00436342">
            <w:pPr>
              <w:spacing w:after="0" w:line="240" w:lineRule="auto"/>
              <w:jc w:val="left"/>
              <w:rPr>
                <w:rFonts w:asciiTheme="majorHAnsi" w:eastAsia="Times New Roman" w:hAnsiTheme="majorHAnsi" w:cstheme="majorHAnsi"/>
                <w:lang w:val="en-US" w:eastAsia="de-DE"/>
              </w:rPr>
            </w:pPr>
            <w:r w:rsidRPr="00F07EAC">
              <w:rPr>
                <w:rFonts w:asciiTheme="majorHAnsi" w:hAnsiTheme="majorHAnsi" w:cstheme="majorHAnsi"/>
              </w:rPr>
              <w:t xml:space="preserve">IPTO SA - Independent Power Transmission Operator S.A.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3B7A779" w14:textId="2FCF80EF"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3.686,92    </w:t>
            </w:r>
          </w:p>
        </w:tc>
      </w:tr>
      <w:tr w:rsidR="00436342" w:rsidRPr="001C626E" w14:paraId="5A73CAD5"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5435ECA" w14:textId="159F4751"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Hungary</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4982D18" w14:textId="55098ABF"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lang w:val="de-DE"/>
              </w:rPr>
              <w:t>MAVIR ZRt. - MAVIR Magyar Villamosenergia-ipari Átviteli Rendszerirányító Zártkörűen Működő Részvénytársaság</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D06D706" w14:textId="6C0940A4"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lang w:val="de-DE"/>
              </w:rPr>
              <w:t xml:space="preserve"> </w:t>
            </w:r>
            <w:r w:rsidRPr="00F07EAC">
              <w:rPr>
                <w:rFonts w:asciiTheme="majorHAnsi" w:hAnsiTheme="majorHAnsi" w:cstheme="majorHAnsi"/>
              </w:rPr>
              <w:t xml:space="preserve">3.332,57    </w:t>
            </w:r>
          </w:p>
        </w:tc>
      </w:tr>
      <w:tr w:rsidR="00436342" w:rsidRPr="001C626E" w14:paraId="59736913"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7393C6D" w14:textId="2D61AD5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Italy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9CFDC6A" w14:textId="67A9A429"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lang w:val="pl-PL"/>
              </w:rPr>
              <w:t xml:space="preserve">Terna - Terna, Rete Elettrica Nazionale SpA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647BEE7" w14:textId="706ED0B2"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lang w:val="pl-PL"/>
              </w:rPr>
              <w:t xml:space="preserve"> </w:t>
            </w:r>
            <w:r w:rsidRPr="00F07EAC">
              <w:rPr>
                <w:rFonts w:asciiTheme="majorHAnsi" w:hAnsiTheme="majorHAnsi" w:cstheme="majorHAnsi"/>
              </w:rPr>
              <w:t xml:space="preserve">12.202,06    </w:t>
            </w:r>
          </w:p>
        </w:tc>
      </w:tr>
      <w:tr w:rsidR="00436342" w:rsidRPr="001C626E" w14:paraId="430ED63D"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B92F0D8" w14:textId="42C2FBE5"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Luxembourgh</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F2E5A60" w14:textId="451C790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Creos</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04DC86E" w14:textId="23A53754"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884,49    </w:t>
            </w:r>
          </w:p>
        </w:tc>
      </w:tr>
      <w:tr w:rsidR="00436342" w:rsidRPr="001C626E" w14:paraId="48E2363D"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B3DB76E" w14:textId="2006EA6C"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Macedonia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9B2D3F2" w14:textId="093692C0"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MEPSO</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C79D4B6" w14:textId="38797D2C"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2.172,22    </w:t>
            </w:r>
          </w:p>
        </w:tc>
      </w:tr>
      <w:tr w:rsidR="00436342" w:rsidRPr="001C626E" w14:paraId="5FD882C0"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947A01F" w14:textId="1980B0D2"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Montenegro</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BD6968F" w14:textId="15EA0C4C"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CGES</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325AC8DD" w14:textId="1EB48D94"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2.058,80    </w:t>
            </w:r>
          </w:p>
        </w:tc>
      </w:tr>
      <w:tr w:rsidR="00436342" w:rsidRPr="001C626E" w14:paraId="7652202C"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01CEFFF" w14:textId="6097BF9D"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Netherlands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12FC0DC" w14:textId="78CBB0D1"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TenneT TSO - TenneT TSO B.V.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0068CBD" w14:textId="40EF1815"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5.810,75    </w:t>
            </w:r>
          </w:p>
        </w:tc>
      </w:tr>
      <w:tr w:rsidR="00436342" w:rsidRPr="001C626E" w14:paraId="15CF6B96"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7A93F4E" w14:textId="423F86D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Poland</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2EE6EF9" w14:textId="17B3380C"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PSE - PSE S.A.</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02425EA" w14:textId="3609C17C"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7.071,50    </w:t>
            </w:r>
          </w:p>
        </w:tc>
      </w:tr>
      <w:tr w:rsidR="00436342" w:rsidRPr="001C626E" w14:paraId="0C23455A"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15F0A58" w14:textId="05FA1F4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Portugal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61CBC4B" w14:textId="4CE6810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456C5">
              <w:rPr>
                <w:rFonts w:asciiTheme="majorHAnsi" w:hAnsiTheme="majorHAnsi" w:cstheme="majorHAnsi"/>
                <w:lang w:val="es-CR"/>
              </w:rPr>
              <w:t xml:space="preserve">REN - Rede Eléctrica Nacional, S.A.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770596B" w14:textId="3FB47968"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F07EAC">
              <w:rPr>
                <w:rFonts w:asciiTheme="majorHAnsi" w:hAnsiTheme="majorHAnsi" w:cstheme="majorHAnsi"/>
              </w:rPr>
              <w:t xml:space="preserve">3.612,72    </w:t>
            </w:r>
          </w:p>
        </w:tc>
      </w:tr>
      <w:tr w:rsidR="00436342" w:rsidRPr="001C626E" w14:paraId="4C982171"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0283B41" w14:textId="609F4A54"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Romania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275F0DF" w14:textId="783AC0C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Transelectrica</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1A6870E" w14:textId="334BF858"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3.642,43    </w:t>
            </w:r>
          </w:p>
        </w:tc>
      </w:tr>
      <w:tr w:rsidR="00436342" w:rsidRPr="001C626E" w14:paraId="0183D42C"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47C179" w14:textId="69A7DC54"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Serbia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2D5F521" w14:textId="01CB420A"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EMS AD</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529D958" w14:textId="33C38A3F"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2.951,53    </w:t>
            </w:r>
          </w:p>
        </w:tc>
      </w:tr>
      <w:tr w:rsidR="00436342" w:rsidRPr="001C626E" w14:paraId="6982D495"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96F4F3C" w14:textId="42914550"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Slovak Republic</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3F93ED" w14:textId="0FDF9BB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lang w:val="de-DE"/>
              </w:rPr>
              <w:t>SEPS - Slovenská elektrizačná prenosová sústava, a.s.</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81ADC50" w14:textId="36316991"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lang w:val="de-DE"/>
              </w:rPr>
              <w:t xml:space="preserve"> </w:t>
            </w:r>
            <w:r w:rsidRPr="00F07EAC">
              <w:rPr>
                <w:rFonts w:asciiTheme="majorHAnsi" w:hAnsiTheme="majorHAnsi" w:cstheme="majorHAnsi"/>
              </w:rPr>
              <w:t xml:space="preserve">2.869,51    </w:t>
            </w:r>
          </w:p>
        </w:tc>
      </w:tr>
      <w:tr w:rsidR="00436342" w:rsidRPr="001C626E" w14:paraId="7526E95E"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B224B11" w14:textId="23358C5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Slovenia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DA6BD71" w14:textId="16D5B575" w:rsidR="00436342" w:rsidRPr="00F456C5" w:rsidRDefault="00436342" w:rsidP="00436342">
            <w:pPr>
              <w:spacing w:after="0" w:line="240" w:lineRule="auto"/>
              <w:jc w:val="left"/>
              <w:rPr>
                <w:rFonts w:asciiTheme="majorHAnsi" w:eastAsia="Times New Roman" w:hAnsiTheme="majorHAnsi" w:cstheme="majorHAnsi"/>
                <w:lang w:val="es-CR" w:eastAsia="de-DE"/>
              </w:rPr>
            </w:pPr>
            <w:r w:rsidRPr="00F456C5">
              <w:rPr>
                <w:rFonts w:asciiTheme="majorHAnsi" w:hAnsiTheme="majorHAnsi" w:cstheme="majorHAnsi"/>
                <w:lang w:val="es-CR"/>
              </w:rPr>
              <w:t>ELES - ELES, d.o.o., sistemski operater prenosnega elektroenergetskega omrežja</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0BE71F8" w14:textId="6DE514A1"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F07EAC">
              <w:rPr>
                <w:rFonts w:asciiTheme="majorHAnsi" w:hAnsiTheme="majorHAnsi" w:cstheme="majorHAnsi"/>
              </w:rPr>
              <w:t xml:space="preserve">2.428,85    </w:t>
            </w:r>
          </w:p>
        </w:tc>
      </w:tr>
      <w:tr w:rsidR="00436342" w:rsidRPr="001C626E" w14:paraId="2B3CCBA5"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D3B6C7" w14:textId="44B81DE1"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Spain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0517E569" w14:textId="31C09655"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456C5">
              <w:rPr>
                <w:rFonts w:asciiTheme="majorHAnsi" w:hAnsiTheme="majorHAnsi" w:cstheme="majorHAnsi"/>
                <w:lang w:val="es-CR"/>
              </w:rPr>
              <w:t xml:space="preserve">REE - Red Eléctrica de EspaÑa S.A.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0C89D07" w14:textId="4ADD1BE6"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F07EAC">
              <w:rPr>
                <w:rFonts w:asciiTheme="majorHAnsi" w:hAnsiTheme="majorHAnsi" w:cstheme="majorHAnsi"/>
              </w:rPr>
              <w:t xml:space="preserve">10.255,92    </w:t>
            </w:r>
          </w:p>
        </w:tc>
      </w:tr>
      <w:tr w:rsidR="00436342" w:rsidRPr="001C626E" w14:paraId="0429EEFB"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65D31F6" w14:textId="70F4EE5D" w:rsidR="00436342" w:rsidRPr="00F07EAC" w:rsidRDefault="009F2514" w:rsidP="384D70B8">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Switzerland</w:t>
            </w:r>
            <w:r w:rsidRPr="00F07EAC">
              <w:rPr>
                <w:rFonts w:asciiTheme="majorHAnsi" w:hAnsiTheme="majorHAnsi" w:cstheme="majorHAnsi"/>
                <w:vertAlign w:val="superscript"/>
              </w:rPr>
              <w:t xml:space="preserve">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0529879" w14:textId="643C3B99"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Swissgrid - Swissgrid AG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BB043E9" w14:textId="2A5FF9ED"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3.907,97    </w:t>
            </w:r>
          </w:p>
        </w:tc>
      </w:tr>
      <w:tr w:rsidR="00436342" w:rsidRPr="001C626E" w14:paraId="640FE9BF"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7C1C28A" w14:textId="0E1D4277"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Ukraine</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F50FA2E" w14:textId="78E9A319"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Ukrenergo</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09A8C95" w14:textId="0E7E4CDB"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7.094,63    </w:t>
            </w:r>
          </w:p>
        </w:tc>
      </w:tr>
      <w:tr w:rsidR="00436342" w:rsidRPr="001C626E" w14:paraId="1E457980"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873860" w14:textId="28D18011" w:rsidR="00436342" w:rsidRPr="00137192"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Kosovo</w:t>
            </w:r>
            <w:r w:rsidR="00137192">
              <w:rPr>
                <w:rStyle w:val="FootnoteReference"/>
                <w:rFonts w:asciiTheme="majorHAnsi" w:hAnsiTheme="majorHAnsi" w:cstheme="majorHAnsi"/>
              </w:rPr>
              <w:footnoteReference w:id="3"/>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4B8A9B9B" w14:textId="75B3E73F"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KOSTT</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F807642" w14:textId="12F0E189"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2.117,60    </w:t>
            </w:r>
          </w:p>
        </w:tc>
      </w:tr>
      <w:tr w:rsidR="00436342" w:rsidRPr="001C626E" w14:paraId="489CAA21"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BEFA05" w14:textId="0C327DA4"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Turkey</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0C8A7FE4" w14:textId="11BB5AF8"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TEIAS</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tcPr>
          <w:p w14:paraId="3858FADC" w14:textId="3E08FB78"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8.242,46    </w:t>
            </w:r>
          </w:p>
        </w:tc>
      </w:tr>
      <w:tr w:rsidR="003B630A" w:rsidRPr="001C626E" w14:paraId="77B84C53" w14:textId="77777777" w:rsidTr="00F07EAC">
        <w:trPr>
          <w:trHeight w:val="310"/>
        </w:trPr>
        <w:tc>
          <w:tcPr>
            <w:tcW w:w="2145" w:type="dxa"/>
            <w:tcBorders>
              <w:top w:val="double" w:sz="6" w:space="0" w:color="BFBFBF" w:themeColor="background1" w:themeShade="BF"/>
              <w:left w:val="single" w:sz="4" w:space="0" w:color="BFBFBF" w:themeColor="background1" w:themeShade="BF"/>
              <w:bottom w:val="double" w:sz="6" w:space="0" w:color="BFBFBF" w:themeColor="background1" w:themeShade="BF"/>
              <w:right w:val="single" w:sz="4" w:space="0" w:color="BFBFBF" w:themeColor="background1" w:themeShade="BF"/>
            </w:tcBorders>
            <w:shd w:val="clear" w:color="auto" w:fill="FFFFFF" w:themeFill="background1"/>
            <w:noWrap/>
            <w:vAlign w:val="bottom"/>
            <w:hideMark/>
          </w:tcPr>
          <w:p w14:paraId="6A52EDD4" w14:textId="77777777" w:rsidR="003B630A" w:rsidRPr="00F07EAC" w:rsidRDefault="003B630A" w:rsidP="003B630A">
            <w:pPr>
              <w:spacing w:after="0" w:line="240" w:lineRule="auto"/>
              <w:jc w:val="left"/>
              <w:rPr>
                <w:rFonts w:asciiTheme="majorHAnsi" w:eastAsia="Times New Roman" w:hAnsiTheme="majorHAnsi" w:cstheme="majorHAnsi"/>
                <w:i/>
                <w:iCs/>
                <w:color w:val="000000"/>
                <w:lang w:val="de-DE" w:eastAsia="de-DE"/>
              </w:rPr>
            </w:pPr>
            <w:r w:rsidRPr="00F07EAC">
              <w:rPr>
                <w:rFonts w:asciiTheme="majorHAnsi" w:eastAsia="Times New Roman" w:hAnsiTheme="majorHAnsi" w:cstheme="majorHAnsi"/>
                <w:i/>
                <w:iCs/>
                <w:color w:val="000000"/>
                <w:lang w:val="de-DE" w:eastAsia="de-DE"/>
              </w:rPr>
              <w:lastRenderedPageBreak/>
              <w:t>Total</w:t>
            </w:r>
          </w:p>
        </w:tc>
        <w:tc>
          <w:tcPr>
            <w:tcW w:w="3804" w:type="dxa"/>
            <w:tcBorders>
              <w:top w:val="double" w:sz="6" w:space="0" w:color="BFBFBF" w:themeColor="background1" w:themeShade="BF"/>
              <w:left w:val="nil"/>
              <w:bottom w:val="double" w:sz="6" w:space="0" w:color="BFBFBF" w:themeColor="background1" w:themeShade="BF"/>
              <w:right w:val="single" w:sz="4" w:space="0" w:color="BFBFBF" w:themeColor="background1" w:themeShade="BF"/>
            </w:tcBorders>
            <w:shd w:val="clear" w:color="auto" w:fill="FFFFFF" w:themeFill="background1"/>
            <w:noWrap/>
            <w:vAlign w:val="bottom"/>
            <w:hideMark/>
          </w:tcPr>
          <w:p w14:paraId="0A7ABF0D" w14:textId="77777777" w:rsidR="003B630A" w:rsidRPr="00F07EAC" w:rsidRDefault="003B630A" w:rsidP="003B630A">
            <w:pPr>
              <w:spacing w:after="0" w:line="240" w:lineRule="auto"/>
              <w:jc w:val="left"/>
              <w:rPr>
                <w:rFonts w:asciiTheme="majorHAnsi" w:eastAsia="Times New Roman" w:hAnsiTheme="majorHAnsi" w:cstheme="majorHAnsi"/>
                <w:i/>
                <w:iCs/>
                <w:color w:val="000000"/>
                <w:lang w:val="de-DE" w:eastAsia="de-DE"/>
              </w:rPr>
            </w:pPr>
            <w:r w:rsidRPr="00F07EAC">
              <w:rPr>
                <w:rFonts w:asciiTheme="majorHAnsi" w:eastAsia="Times New Roman" w:hAnsiTheme="majorHAnsi" w:cstheme="majorHAnsi"/>
                <w:i/>
                <w:iCs/>
                <w:color w:val="000000"/>
                <w:lang w:val="de-DE" w:eastAsia="de-DE"/>
              </w:rPr>
              <w:t> </w:t>
            </w:r>
          </w:p>
        </w:tc>
        <w:tc>
          <w:tcPr>
            <w:tcW w:w="1843" w:type="dxa"/>
            <w:tcBorders>
              <w:top w:val="double" w:sz="6" w:space="0" w:color="BFBFBF" w:themeColor="background1" w:themeShade="BF"/>
              <w:left w:val="nil"/>
              <w:bottom w:val="double" w:sz="6" w:space="0" w:color="BFBFBF" w:themeColor="background1" w:themeShade="BF"/>
              <w:right w:val="single" w:sz="4" w:space="0" w:color="BFBFBF" w:themeColor="background1" w:themeShade="BF"/>
            </w:tcBorders>
            <w:shd w:val="clear" w:color="auto" w:fill="E2EFDA"/>
            <w:noWrap/>
            <w:vAlign w:val="bottom"/>
            <w:hideMark/>
          </w:tcPr>
          <w:p w14:paraId="220011D1" w14:textId="77777777" w:rsidR="003B630A" w:rsidRPr="00F07EAC" w:rsidRDefault="003B630A" w:rsidP="003B630A">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eastAsia="Times New Roman" w:hAnsiTheme="majorHAnsi" w:cstheme="majorHAnsi"/>
                <w:b/>
                <w:bCs/>
                <w:color w:val="000000"/>
                <w:lang w:val="de-DE" w:eastAsia="de-DE"/>
              </w:rPr>
              <w:t xml:space="preserve">               150.000,00    </w:t>
            </w:r>
          </w:p>
        </w:tc>
      </w:tr>
    </w:tbl>
    <w:p w14:paraId="1FE7B636" w14:textId="50866E9F" w:rsidR="003B630A" w:rsidRPr="00A263F1" w:rsidRDefault="003B630A" w:rsidP="00A263F1"/>
    <w:tbl>
      <w:tblPr>
        <w:tblW w:w="7760" w:type="dxa"/>
        <w:tblCellMar>
          <w:left w:w="70" w:type="dxa"/>
          <w:right w:w="70" w:type="dxa"/>
        </w:tblCellMar>
        <w:tblLook w:val="04A0" w:firstRow="1" w:lastRow="0" w:firstColumn="1" w:lastColumn="0" w:noHBand="0" w:noVBand="1"/>
      </w:tblPr>
      <w:tblGrid>
        <w:gridCol w:w="1600"/>
        <w:gridCol w:w="4349"/>
        <w:gridCol w:w="1811"/>
      </w:tblGrid>
      <w:tr w:rsidR="005E1966" w:rsidRPr="005E1966" w14:paraId="2DF461A3" w14:textId="77777777" w:rsidTr="007A34B3">
        <w:trPr>
          <w:trHeight w:val="377"/>
        </w:trPr>
        <w:tc>
          <w:tcPr>
            <w:tcW w:w="77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BBB59" w:themeFill="accent3"/>
          </w:tcPr>
          <w:p w14:paraId="600EAC49" w14:textId="77777777" w:rsidR="005E1966" w:rsidRPr="005E1966" w:rsidRDefault="005E1966" w:rsidP="007A34B3">
            <w:pPr>
              <w:spacing w:after="0" w:line="240" w:lineRule="auto"/>
              <w:jc w:val="center"/>
              <w:rPr>
                <w:rFonts w:asciiTheme="majorHAnsi" w:eastAsia="Times New Roman" w:hAnsiTheme="majorHAnsi" w:cstheme="majorHAnsi"/>
                <w:b/>
                <w:bCs/>
                <w:color w:val="000000"/>
                <w:lang w:val="de-DE" w:eastAsia="de-DE"/>
              </w:rPr>
            </w:pPr>
            <w:r w:rsidRPr="005E1966">
              <w:rPr>
                <w:rFonts w:asciiTheme="majorHAnsi" w:eastAsia="Times New Roman" w:hAnsiTheme="majorHAnsi" w:cstheme="majorHAnsi"/>
                <w:b/>
                <w:bCs/>
                <w:color w:val="000000" w:themeColor="text1"/>
                <w:lang w:val="de-DE" w:eastAsia="de-DE"/>
              </w:rPr>
              <w:t>Yearly costs for operation</w:t>
            </w:r>
          </w:p>
        </w:tc>
      </w:tr>
      <w:tr w:rsidR="005E1966" w:rsidRPr="005E1966" w14:paraId="67C72C5E" w14:textId="77777777" w:rsidTr="007A34B3">
        <w:trPr>
          <w:trHeight w:val="290"/>
        </w:trPr>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527106" w14:textId="77777777" w:rsidR="005E1966" w:rsidRPr="005E1966" w:rsidRDefault="005E1966" w:rsidP="007A34B3">
            <w:pPr>
              <w:rPr>
                <w:rFonts w:asciiTheme="majorHAnsi" w:hAnsiTheme="majorHAnsi" w:cstheme="majorHAnsi"/>
                <w:b/>
              </w:rPr>
            </w:pPr>
            <w:r w:rsidRPr="005E1966">
              <w:rPr>
                <w:rFonts w:asciiTheme="majorHAnsi" w:hAnsiTheme="majorHAnsi" w:cstheme="majorHAnsi"/>
                <w:b/>
              </w:rPr>
              <w:t>Participants</w:t>
            </w:r>
          </w:p>
        </w:tc>
        <w:tc>
          <w:tcPr>
            <w:tcW w:w="4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C6BF9B" w14:textId="77777777" w:rsidR="005E1966" w:rsidRPr="005E1966" w:rsidRDefault="005E1966" w:rsidP="007A34B3">
            <w:pPr>
              <w:rPr>
                <w:rFonts w:asciiTheme="majorHAnsi" w:hAnsiTheme="majorHAnsi" w:cstheme="majorHAnsi"/>
                <w:b/>
              </w:rPr>
            </w:pPr>
            <w:r w:rsidRPr="005E1966">
              <w:rPr>
                <w:rFonts w:asciiTheme="majorHAnsi" w:hAnsiTheme="majorHAnsi" w:cstheme="majorHAnsi"/>
                <w:b/>
              </w:rPr>
              <w:t>Participants</w:t>
            </w:r>
          </w:p>
        </w:tc>
        <w:tc>
          <w:tcPr>
            <w:tcW w:w="181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2EFDA"/>
            <w:vAlign w:val="bottom"/>
            <w:hideMark/>
          </w:tcPr>
          <w:p w14:paraId="4FB181A3" w14:textId="77777777" w:rsidR="005E1966" w:rsidRPr="005E1966" w:rsidRDefault="005E1966" w:rsidP="007A34B3">
            <w:pPr>
              <w:rPr>
                <w:rFonts w:asciiTheme="majorHAnsi" w:hAnsiTheme="majorHAnsi" w:cstheme="majorHAnsi"/>
                <w:b/>
                <w:bCs/>
              </w:rPr>
            </w:pPr>
            <w:r w:rsidRPr="005E1966">
              <w:rPr>
                <w:rFonts w:asciiTheme="majorHAnsi" w:hAnsiTheme="majorHAnsi" w:cstheme="majorHAnsi"/>
                <w:b/>
                <w:bCs/>
              </w:rPr>
              <w:t>Costs (EUR) excl. VAT</w:t>
            </w:r>
          </w:p>
        </w:tc>
      </w:tr>
      <w:tr w:rsidR="005E1966" w:rsidRPr="005E1966" w14:paraId="31E7C216" w14:textId="77777777" w:rsidTr="007A34B3">
        <w:trPr>
          <w:trHeight w:val="300"/>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FE1067"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Albania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3C81BBB"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OST</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3EDCA662"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1.129,38    </w:t>
            </w:r>
          </w:p>
        </w:tc>
      </w:tr>
      <w:tr w:rsidR="005E1966" w:rsidRPr="005E1966" w14:paraId="03D9E4CB"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30DA095"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Austria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D63EC2" w14:textId="77777777" w:rsidR="005E1966" w:rsidRPr="005E1966" w:rsidRDefault="005E1966" w:rsidP="007A34B3">
            <w:pPr>
              <w:spacing w:after="0" w:line="240" w:lineRule="auto"/>
              <w:jc w:val="left"/>
              <w:rPr>
                <w:rFonts w:asciiTheme="majorHAnsi" w:eastAsia="Times New Roman" w:hAnsiTheme="majorHAnsi" w:cstheme="majorHAnsi"/>
                <w:lang w:val="en-US" w:eastAsia="de-DE"/>
              </w:rPr>
            </w:pPr>
            <w:r w:rsidRPr="005E1966">
              <w:rPr>
                <w:rFonts w:asciiTheme="majorHAnsi" w:hAnsiTheme="majorHAnsi" w:cstheme="majorHAnsi"/>
              </w:rPr>
              <w:t xml:space="preserve">APG - Austrian Power Grid AG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2326F05"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2.138,29    </w:t>
            </w:r>
          </w:p>
        </w:tc>
      </w:tr>
      <w:tr w:rsidR="005E1966" w:rsidRPr="005E1966" w14:paraId="647DC61C"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92AE84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Belgium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1DF642" w14:textId="77777777" w:rsidR="005E1966" w:rsidRPr="005E1966" w:rsidRDefault="005E1966" w:rsidP="007A34B3">
            <w:pPr>
              <w:spacing w:after="0" w:line="240" w:lineRule="auto"/>
              <w:jc w:val="left"/>
              <w:rPr>
                <w:rFonts w:asciiTheme="majorHAnsi" w:eastAsia="Times New Roman" w:hAnsiTheme="majorHAnsi" w:cstheme="majorHAnsi"/>
                <w:lang w:val="en-US" w:eastAsia="de-DE"/>
              </w:rPr>
            </w:pPr>
            <w:r w:rsidRPr="005E1966">
              <w:rPr>
                <w:rFonts w:asciiTheme="majorHAnsi" w:hAnsiTheme="majorHAnsi" w:cstheme="majorHAnsi"/>
              </w:rPr>
              <w:t xml:space="preserve">Elia - Elia System Operator SA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3E7D3597"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2.461,70    </w:t>
            </w:r>
          </w:p>
        </w:tc>
      </w:tr>
      <w:tr w:rsidR="005E1966" w:rsidRPr="005E1966" w14:paraId="5A141962"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825FB5C"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Bosnia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428D46E"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Nezavisni Operator Sistema</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D6A8243"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1.220,69    </w:t>
            </w:r>
          </w:p>
        </w:tc>
      </w:tr>
      <w:tr w:rsidR="005E1966" w:rsidRPr="005E1966" w14:paraId="476F9CA3"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01EA4A9"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Bulgaria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29FBBFD"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Elektroenergien Sistemen Operator</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4FBB587"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1.553,92    </w:t>
            </w:r>
          </w:p>
        </w:tc>
      </w:tr>
      <w:tr w:rsidR="005E1966" w:rsidRPr="005E1966" w14:paraId="06ED1C4C"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FD8F395"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Croatia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10550DA" w14:textId="77777777" w:rsidR="005E1966" w:rsidRPr="005E1966" w:rsidRDefault="005E1966" w:rsidP="007A34B3">
            <w:pPr>
              <w:spacing w:after="0" w:line="240" w:lineRule="auto"/>
              <w:jc w:val="left"/>
              <w:rPr>
                <w:rFonts w:asciiTheme="majorHAnsi" w:eastAsia="Times New Roman" w:hAnsiTheme="majorHAnsi" w:cstheme="majorHAnsi"/>
                <w:lang w:val="en-US" w:eastAsia="de-DE"/>
              </w:rPr>
            </w:pPr>
            <w:r w:rsidRPr="005E1966">
              <w:rPr>
                <w:rFonts w:asciiTheme="majorHAnsi" w:hAnsiTheme="majorHAnsi" w:cstheme="majorHAnsi"/>
              </w:rPr>
              <w:t>HOPS - Croatian Transmission System</w:t>
            </w:r>
            <w:r w:rsidRPr="005E1966">
              <w:rPr>
                <w:rFonts w:asciiTheme="majorHAnsi" w:hAnsiTheme="majorHAnsi" w:cstheme="majorHAnsi"/>
              </w:rPr>
              <w:br/>
              <w:t>Operator Ltd</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3FB9E1A"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1.302,87    </w:t>
            </w:r>
          </w:p>
        </w:tc>
      </w:tr>
      <w:tr w:rsidR="005E1966" w:rsidRPr="005E1966" w14:paraId="3C2B2A04"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16342B6"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Czech Republic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803154F"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ČEPS - ČEPS, a.s.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95565B1"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2.040,32    </w:t>
            </w:r>
          </w:p>
        </w:tc>
      </w:tr>
      <w:tr w:rsidR="005E1966" w:rsidRPr="005E1966" w14:paraId="427A1798"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F7B8D0"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Denmark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079E9D7" w14:textId="77777777" w:rsidR="005E1966" w:rsidRPr="005E1966" w:rsidRDefault="005E1966" w:rsidP="007A34B3">
            <w:pPr>
              <w:spacing w:after="0" w:line="240" w:lineRule="auto"/>
              <w:jc w:val="left"/>
              <w:rPr>
                <w:rFonts w:asciiTheme="majorHAnsi" w:eastAsia="Times New Roman" w:hAnsiTheme="majorHAnsi" w:cstheme="majorHAnsi"/>
                <w:lang w:val="en-US" w:eastAsia="de-DE"/>
              </w:rPr>
            </w:pPr>
            <w:r w:rsidRPr="005E1966">
              <w:rPr>
                <w:rFonts w:asciiTheme="majorHAnsi" w:hAnsiTheme="majorHAnsi" w:cstheme="majorHAnsi"/>
              </w:rPr>
              <w:t xml:space="preserve">Energinet.dk IPC - Energinet.dk Independent Power Entreprise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00CB49F"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      </w:t>
            </w:r>
          </w:p>
        </w:tc>
      </w:tr>
      <w:tr w:rsidR="005E1966" w:rsidRPr="005E1966" w14:paraId="0594F0F3"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0E80845"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France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092280B" w14:textId="77777777" w:rsidR="005E1966" w:rsidRPr="00C151BB" w:rsidRDefault="005E1966" w:rsidP="007A34B3">
            <w:pPr>
              <w:spacing w:after="0" w:line="240" w:lineRule="auto"/>
              <w:jc w:val="left"/>
              <w:rPr>
                <w:rFonts w:asciiTheme="majorHAnsi" w:eastAsia="Times New Roman" w:hAnsiTheme="majorHAnsi" w:cstheme="majorHAnsi"/>
                <w:lang w:val="fr-BE" w:eastAsia="de-DE"/>
              </w:rPr>
            </w:pPr>
            <w:r w:rsidRPr="00C151BB">
              <w:rPr>
                <w:rFonts w:asciiTheme="majorHAnsi" w:hAnsiTheme="majorHAnsi" w:cstheme="majorHAnsi"/>
                <w:lang w:val="fr-BE"/>
              </w:rPr>
              <w:t xml:space="preserve">RTE - Réseau de Transport d'electricité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216F3D4"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C151BB">
              <w:rPr>
                <w:rFonts w:asciiTheme="majorHAnsi" w:hAnsiTheme="majorHAnsi" w:cstheme="majorHAnsi"/>
                <w:lang w:val="fr-BE"/>
              </w:rPr>
              <w:t xml:space="preserve"> </w:t>
            </w:r>
            <w:r w:rsidRPr="005E1966">
              <w:rPr>
                <w:rFonts w:asciiTheme="majorHAnsi" w:hAnsiTheme="majorHAnsi" w:cstheme="majorHAnsi"/>
              </w:rPr>
              <w:t xml:space="preserve">8.677,13    </w:t>
            </w:r>
          </w:p>
        </w:tc>
      </w:tr>
      <w:tr w:rsidR="005E1966" w:rsidRPr="005E1966" w14:paraId="1D3B961B"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DEC4117"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Germany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B89ECA5"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Amprion - Amprion GmbH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5482EE3"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4.158,58    </w:t>
            </w:r>
          </w:p>
        </w:tc>
      </w:tr>
      <w:tr w:rsidR="005E1966" w:rsidRPr="005E1966" w14:paraId="1677F53C"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1FA42E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Germany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8E5817E"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TenneT GER – Tennet TSO GmbH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7A595FE"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4.053,82    </w:t>
            </w:r>
          </w:p>
        </w:tc>
      </w:tr>
      <w:tr w:rsidR="005E1966" w:rsidRPr="005E1966" w14:paraId="5F7864A0"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07CEF9"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Germany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D9BE792"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TransnetBW -TransnetBW GmbH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10F9FF5"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1.874,44    </w:t>
            </w:r>
          </w:p>
        </w:tc>
      </w:tr>
      <w:tr w:rsidR="005E1966" w:rsidRPr="005E1966" w14:paraId="6F091CB2"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8B93A2C"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Germany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4F980F9"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50Hertz - 50Hertz Transmission GmbH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2D5CC3D"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2.535,71    </w:t>
            </w:r>
          </w:p>
        </w:tc>
      </w:tr>
      <w:tr w:rsidR="005E1966" w:rsidRPr="005E1966" w14:paraId="7B63A5C2"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9EBF04"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Greece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412DB17" w14:textId="77777777" w:rsidR="005E1966" w:rsidRPr="005E1966" w:rsidRDefault="005E1966" w:rsidP="007A34B3">
            <w:pPr>
              <w:spacing w:after="0" w:line="240" w:lineRule="auto"/>
              <w:jc w:val="left"/>
              <w:rPr>
                <w:rFonts w:asciiTheme="majorHAnsi" w:eastAsia="Times New Roman" w:hAnsiTheme="majorHAnsi" w:cstheme="majorHAnsi"/>
                <w:lang w:val="en-US" w:eastAsia="de-DE"/>
              </w:rPr>
            </w:pPr>
            <w:r w:rsidRPr="005E1966">
              <w:rPr>
                <w:rFonts w:asciiTheme="majorHAnsi" w:hAnsiTheme="majorHAnsi" w:cstheme="majorHAnsi"/>
              </w:rPr>
              <w:t xml:space="preserve">IPTO SA - Independent Power Transmission Operator S.A.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26BC4A5"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1.892,40    </w:t>
            </w:r>
          </w:p>
        </w:tc>
      </w:tr>
      <w:tr w:rsidR="005E1966" w:rsidRPr="005E1966" w14:paraId="0AA555C8"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8DB100C"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Hungary</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7035D9F"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C151BB">
              <w:rPr>
                <w:rFonts w:asciiTheme="majorHAnsi" w:hAnsiTheme="majorHAnsi" w:cstheme="majorHAnsi"/>
                <w:lang w:val="de-DE"/>
              </w:rPr>
              <w:t>MAVIR ZRt. - MAVIR Magyar Villamosenergia-ipari Átviteli Rendszerirányító Zártkörűen Működő Részvénytársaság</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72B7E9E"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C151BB">
              <w:rPr>
                <w:rFonts w:asciiTheme="majorHAnsi" w:hAnsiTheme="majorHAnsi" w:cstheme="majorHAnsi"/>
                <w:lang w:val="de-DE"/>
              </w:rPr>
              <w:t xml:space="preserve"> </w:t>
            </w:r>
            <w:r w:rsidRPr="005E1966">
              <w:rPr>
                <w:rFonts w:asciiTheme="majorHAnsi" w:hAnsiTheme="majorHAnsi" w:cstheme="majorHAnsi"/>
              </w:rPr>
              <w:t xml:space="preserve">1.712,81    </w:t>
            </w:r>
          </w:p>
        </w:tc>
      </w:tr>
      <w:tr w:rsidR="005E1966" w:rsidRPr="005E1966" w14:paraId="451BD090"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D8A01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Italy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882624E"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C151BB">
              <w:rPr>
                <w:rFonts w:asciiTheme="majorHAnsi" w:hAnsiTheme="majorHAnsi" w:cstheme="majorHAnsi"/>
                <w:lang w:val="fr-BE"/>
              </w:rPr>
              <w:t xml:space="preserve">Terna - Terna, Rete Elettrica Nazionale SpA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D021CE9"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C151BB">
              <w:rPr>
                <w:rFonts w:asciiTheme="majorHAnsi" w:hAnsiTheme="majorHAnsi" w:cstheme="majorHAnsi"/>
                <w:lang w:val="fr-BE"/>
              </w:rPr>
              <w:t xml:space="preserve"> </w:t>
            </w:r>
            <w:r w:rsidRPr="005E1966">
              <w:rPr>
                <w:rFonts w:asciiTheme="majorHAnsi" w:hAnsiTheme="majorHAnsi" w:cstheme="majorHAnsi"/>
              </w:rPr>
              <w:t xml:space="preserve">6.208,11    </w:t>
            </w:r>
          </w:p>
        </w:tc>
      </w:tr>
      <w:tr w:rsidR="005E1966" w:rsidRPr="005E1966" w14:paraId="2FBF24BE"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71D0DCF"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Luxembourgh</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0A7B4D0"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Creos</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CD057A6"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      </w:t>
            </w:r>
          </w:p>
        </w:tc>
      </w:tr>
      <w:tr w:rsidR="005E1966" w:rsidRPr="005E1966" w14:paraId="0C0B3C8A"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2F151A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Macedonia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ED6828F"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MEPSO</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65B6A56"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1.124,71    </w:t>
            </w:r>
          </w:p>
        </w:tc>
      </w:tr>
      <w:tr w:rsidR="005E1966" w:rsidRPr="005E1966" w14:paraId="7FA7A771"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61E1EB3"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Montenegro</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C8C8514"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CGES</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5DA381D"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1.067,23    </w:t>
            </w:r>
          </w:p>
        </w:tc>
      </w:tr>
      <w:tr w:rsidR="005E1966" w:rsidRPr="005E1966" w14:paraId="251C2607"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DCFA45E"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Netherlands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1E18FFB"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TenneT TSO - TenneT TSO B.V.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55D3DE4"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2.968,82    </w:t>
            </w:r>
          </w:p>
        </w:tc>
      </w:tr>
      <w:tr w:rsidR="005E1966" w:rsidRPr="005E1966" w14:paraId="2603C2EB"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3EBAEFD"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Poland</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3A4EE96"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PSE - PSE S.A.</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961BFB1"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3.607,80    </w:t>
            </w:r>
          </w:p>
        </w:tc>
      </w:tr>
      <w:tr w:rsidR="005E1966" w:rsidRPr="005E1966" w14:paraId="6F8D54CC"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9596E23"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Portugal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6E31A77"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F456C5">
              <w:rPr>
                <w:rFonts w:asciiTheme="majorHAnsi" w:hAnsiTheme="majorHAnsi" w:cstheme="majorHAnsi"/>
                <w:lang w:val="es-CR"/>
              </w:rPr>
              <w:t xml:space="preserve">REN - Rede Eléctrica Nacional, S.A.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17B3AD9"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5E1966">
              <w:rPr>
                <w:rFonts w:asciiTheme="majorHAnsi" w:hAnsiTheme="majorHAnsi" w:cstheme="majorHAnsi"/>
              </w:rPr>
              <w:t xml:space="preserve">1.854,79    </w:t>
            </w:r>
          </w:p>
        </w:tc>
      </w:tr>
      <w:tr w:rsidR="005E1966" w:rsidRPr="005E1966" w14:paraId="5B453D04"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BFAF845"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Romania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6132C23"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Transelectrica</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890EF9E"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1.869,85    </w:t>
            </w:r>
          </w:p>
        </w:tc>
      </w:tr>
      <w:tr w:rsidR="005E1966" w:rsidRPr="005E1966" w14:paraId="10596B98"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A429A46"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Serbia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8251E69"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EMS AD</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30C77B7"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1.519,68    </w:t>
            </w:r>
          </w:p>
        </w:tc>
      </w:tr>
      <w:tr w:rsidR="005E1966" w:rsidRPr="005E1966" w14:paraId="3BEBE425"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1815DF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Slovak Republic</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AFEC2F7"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C151BB">
              <w:rPr>
                <w:rFonts w:asciiTheme="majorHAnsi" w:hAnsiTheme="majorHAnsi" w:cstheme="majorHAnsi"/>
                <w:lang w:val="de-DE"/>
              </w:rPr>
              <w:t>SEPS - Slovenská elektrizačná prenosová sústava, a.s.</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A8A6FB2"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C151BB">
              <w:rPr>
                <w:rFonts w:asciiTheme="majorHAnsi" w:hAnsiTheme="majorHAnsi" w:cstheme="majorHAnsi"/>
                <w:lang w:val="de-DE"/>
              </w:rPr>
              <w:t xml:space="preserve"> </w:t>
            </w:r>
            <w:r w:rsidRPr="005E1966">
              <w:rPr>
                <w:rFonts w:asciiTheme="majorHAnsi" w:hAnsiTheme="majorHAnsi" w:cstheme="majorHAnsi"/>
              </w:rPr>
              <w:t xml:space="preserve">1.478,12    </w:t>
            </w:r>
          </w:p>
        </w:tc>
      </w:tr>
      <w:tr w:rsidR="005E1966" w:rsidRPr="005E1966" w14:paraId="263B3E90"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39C292B"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Slovenia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E44CA1" w14:textId="77777777" w:rsidR="005E1966" w:rsidRPr="00F456C5" w:rsidRDefault="005E1966" w:rsidP="007A34B3">
            <w:pPr>
              <w:spacing w:after="0" w:line="240" w:lineRule="auto"/>
              <w:jc w:val="left"/>
              <w:rPr>
                <w:rFonts w:asciiTheme="majorHAnsi" w:eastAsia="Times New Roman" w:hAnsiTheme="majorHAnsi" w:cstheme="majorHAnsi"/>
                <w:lang w:val="es-CR" w:eastAsia="de-DE"/>
              </w:rPr>
            </w:pPr>
            <w:r w:rsidRPr="00F456C5">
              <w:rPr>
                <w:rFonts w:asciiTheme="majorHAnsi" w:hAnsiTheme="majorHAnsi" w:cstheme="majorHAnsi"/>
                <w:lang w:val="es-CR"/>
              </w:rPr>
              <w:t>ELES - ELES, d.o.o., sistemski operater prenosnega elektroenergetskega omrežja</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95CBFE9"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5E1966">
              <w:rPr>
                <w:rFonts w:asciiTheme="majorHAnsi" w:hAnsiTheme="majorHAnsi" w:cstheme="majorHAnsi"/>
              </w:rPr>
              <w:t xml:space="preserve">1.254,77    </w:t>
            </w:r>
          </w:p>
        </w:tc>
      </w:tr>
      <w:tr w:rsidR="005E1966" w:rsidRPr="005E1966" w14:paraId="6A858C95"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DBE9E3"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Spain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14A87F8F"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F456C5">
              <w:rPr>
                <w:rFonts w:asciiTheme="majorHAnsi" w:hAnsiTheme="majorHAnsi" w:cstheme="majorHAnsi"/>
                <w:lang w:val="es-CR"/>
              </w:rPr>
              <w:t xml:space="preserve">REE - Red Eléctrica de EspaÑa S.A.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F325F7A"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5E1966">
              <w:rPr>
                <w:rFonts w:asciiTheme="majorHAnsi" w:hAnsiTheme="majorHAnsi" w:cstheme="majorHAnsi"/>
              </w:rPr>
              <w:t xml:space="preserve">5.221,76    </w:t>
            </w:r>
          </w:p>
        </w:tc>
      </w:tr>
      <w:tr w:rsidR="005E1966" w:rsidRPr="005E1966" w14:paraId="706FB323"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06F11FD" w14:textId="7F0A40C2"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Switzerland</w:t>
            </w:r>
            <w:r w:rsidRPr="005E1966">
              <w:rPr>
                <w:rFonts w:asciiTheme="majorHAnsi" w:hAnsiTheme="majorHAnsi" w:cstheme="majorHAnsi"/>
                <w:vertAlign w:val="superscript"/>
              </w:rPr>
              <w:t xml:space="preserve">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011D2ED"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Swissgrid - Swissgrid AG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6D5BAE5"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2.004,44    </w:t>
            </w:r>
          </w:p>
        </w:tc>
      </w:tr>
      <w:tr w:rsidR="005E1966" w:rsidRPr="005E1966" w14:paraId="3739A174"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8383EA7"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Ukraine</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0C846BC"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Ukrenergo</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E4E91BB"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3.619,53    </w:t>
            </w:r>
          </w:p>
        </w:tc>
      </w:tr>
      <w:tr w:rsidR="005E1966" w:rsidRPr="005E1966" w14:paraId="0F1C1831"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F3B5E9" w14:textId="6BCF5421"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Kosovo</w:t>
            </w:r>
            <w:r w:rsidR="002E2691">
              <w:rPr>
                <w:rStyle w:val="FootnoteReference"/>
                <w:rFonts w:asciiTheme="majorHAnsi" w:hAnsiTheme="majorHAnsi" w:cstheme="majorHAnsi"/>
              </w:rPr>
              <w:footnoteReference w:id="4"/>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78966C2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KOSTT</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3DC0236E"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1.097,03    </w:t>
            </w:r>
          </w:p>
        </w:tc>
      </w:tr>
      <w:tr w:rsidR="005E1966" w:rsidRPr="005E1966" w14:paraId="67011D25"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D8D27D"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Turkey</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700FD236"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TEIAS</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tcPr>
          <w:p w14:paraId="2A00426D"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4.201,28    </w:t>
            </w:r>
          </w:p>
        </w:tc>
      </w:tr>
      <w:tr w:rsidR="005E1966" w:rsidRPr="005E1966" w14:paraId="56E93A9E" w14:textId="77777777" w:rsidTr="007A34B3">
        <w:trPr>
          <w:trHeight w:val="310"/>
        </w:trPr>
        <w:tc>
          <w:tcPr>
            <w:tcW w:w="1600" w:type="dxa"/>
            <w:tcBorders>
              <w:top w:val="double" w:sz="6" w:space="0" w:color="BFBFBF" w:themeColor="background1" w:themeShade="BF"/>
              <w:left w:val="single" w:sz="4" w:space="0" w:color="BFBFBF" w:themeColor="background1" w:themeShade="BF"/>
              <w:bottom w:val="double" w:sz="6" w:space="0" w:color="BFBFBF" w:themeColor="background1" w:themeShade="BF"/>
              <w:right w:val="single" w:sz="4" w:space="0" w:color="BFBFBF" w:themeColor="background1" w:themeShade="BF"/>
            </w:tcBorders>
            <w:shd w:val="clear" w:color="auto" w:fill="FFFFFF" w:themeFill="background1"/>
            <w:noWrap/>
            <w:vAlign w:val="bottom"/>
            <w:hideMark/>
          </w:tcPr>
          <w:p w14:paraId="30C81492" w14:textId="77777777" w:rsidR="005E1966" w:rsidRPr="005E1966" w:rsidRDefault="005E1966" w:rsidP="007A34B3">
            <w:pPr>
              <w:spacing w:after="0" w:line="240" w:lineRule="auto"/>
              <w:jc w:val="left"/>
              <w:rPr>
                <w:rFonts w:asciiTheme="majorHAnsi" w:eastAsia="Times New Roman" w:hAnsiTheme="majorHAnsi" w:cstheme="majorHAnsi"/>
                <w:i/>
                <w:iCs/>
                <w:color w:val="000000"/>
                <w:lang w:val="de-DE" w:eastAsia="de-DE"/>
              </w:rPr>
            </w:pPr>
            <w:r w:rsidRPr="005E1966">
              <w:rPr>
                <w:rFonts w:asciiTheme="majorHAnsi" w:eastAsia="Times New Roman" w:hAnsiTheme="majorHAnsi" w:cstheme="majorHAnsi"/>
                <w:i/>
                <w:iCs/>
                <w:color w:val="000000"/>
                <w:lang w:val="de-DE" w:eastAsia="de-DE"/>
              </w:rPr>
              <w:lastRenderedPageBreak/>
              <w:t>Total</w:t>
            </w:r>
          </w:p>
        </w:tc>
        <w:tc>
          <w:tcPr>
            <w:tcW w:w="4349" w:type="dxa"/>
            <w:tcBorders>
              <w:top w:val="double" w:sz="6" w:space="0" w:color="BFBFBF" w:themeColor="background1" w:themeShade="BF"/>
              <w:left w:val="nil"/>
              <w:bottom w:val="double" w:sz="6" w:space="0" w:color="BFBFBF" w:themeColor="background1" w:themeShade="BF"/>
              <w:right w:val="single" w:sz="4" w:space="0" w:color="BFBFBF" w:themeColor="background1" w:themeShade="BF"/>
            </w:tcBorders>
            <w:shd w:val="clear" w:color="auto" w:fill="FFFFFF" w:themeFill="background1"/>
            <w:noWrap/>
            <w:vAlign w:val="bottom"/>
            <w:hideMark/>
          </w:tcPr>
          <w:p w14:paraId="06C9EFBF" w14:textId="77777777" w:rsidR="005E1966" w:rsidRPr="005E1966" w:rsidRDefault="005E1966" w:rsidP="007A34B3">
            <w:pPr>
              <w:spacing w:after="0" w:line="240" w:lineRule="auto"/>
              <w:jc w:val="left"/>
              <w:rPr>
                <w:rFonts w:asciiTheme="majorHAnsi" w:eastAsia="Times New Roman" w:hAnsiTheme="majorHAnsi" w:cstheme="majorHAnsi"/>
                <w:i/>
                <w:iCs/>
                <w:color w:val="000000"/>
                <w:lang w:val="de-DE" w:eastAsia="de-DE"/>
              </w:rPr>
            </w:pPr>
            <w:r w:rsidRPr="005E1966">
              <w:rPr>
                <w:rFonts w:asciiTheme="majorHAnsi" w:eastAsia="Times New Roman" w:hAnsiTheme="majorHAnsi" w:cstheme="majorHAnsi"/>
                <w:i/>
                <w:iCs/>
                <w:color w:val="000000"/>
                <w:lang w:val="de-DE" w:eastAsia="de-DE"/>
              </w:rPr>
              <w:t> </w:t>
            </w:r>
          </w:p>
        </w:tc>
        <w:tc>
          <w:tcPr>
            <w:tcW w:w="1811" w:type="dxa"/>
            <w:tcBorders>
              <w:top w:val="double" w:sz="6" w:space="0" w:color="BFBFBF" w:themeColor="background1" w:themeShade="BF"/>
              <w:left w:val="nil"/>
              <w:bottom w:val="double" w:sz="6" w:space="0" w:color="BFBFBF" w:themeColor="background1" w:themeShade="BF"/>
              <w:right w:val="single" w:sz="4" w:space="0" w:color="BFBFBF" w:themeColor="background1" w:themeShade="BF"/>
            </w:tcBorders>
            <w:shd w:val="clear" w:color="auto" w:fill="E2EFDA"/>
            <w:noWrap/>
            <w:vAlign w:val="bottom"/>
            <w:hideMark/>
          </w:tcPr>
          <w:p w14:paraId="0BFF298A"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eastAsia="Times New Roman" w:hAnsiTheme="majorHAnsi" w:cstheme="majorHAnsi"/>
                <w:b/>
                <w:bCs/>
                <w:color w:val="000000"/>
                <w:lang w:val="de-DE" w:eastAsia="de-DE"/>
              </w:rPr>
              <w:t xml:space="preserve">                 75.850,00    </w:t>
            </w:r>
          </w:p>
        </w:tc>
      </w:tr>
    </w:tbl>
    <w:p w14:paraId="34EE44F5" w14:textId="77777777" w:rsidR="005E1966" w:rsidRDefault="005E1966" w:rsidP="0003023A">
      <w:pPr>
        <w:rPr>
          <w:rFonts w:ascii="Arial" w:eastAsia="Times New Roman" w:hAnsi="Arial" w:cs="Arial"/>
          <w:b/>
          <w:bCs/>
          <w:color w:val="000000" w:themeColor="text1"/>
          <w:lang w:val="de-DE" w:eastAsia="de-DE"/>
        </w:rPr>
      </w:pPr>
    </w:p>
    <w:p w14:paraId="2BDA2F73" w14:textId="598FB3F9" w:rsidR="005E1966" w:rsidRDefault="005E1966" w:rsidP="005E1966">
      <w:r>
        <w:t xml:space="preserve">The </w:t>
      </w:r>
      <w:r w:rsidR="002E2691">
        <w:t>Coordination</w:t>
      </w:r>
      <w:r>
        <w:t xml:space="preserve"> Centres will send invoices to the TSOs after the services for each year have been performed. The services provided by the </w:t>
      </w:r>
      <w:r w:rsidR="002E2691">
        <w:t>Coordination</w:t>
      </w:r>
      <w:r>
        <w:t xml:space="preserve"> Centres are considered to start 01/06/2021, corresponding to the go-live of the financial settlement. As such:</w:t>
      </w:r>
    </w:p>
    <w:p w14:paraId="335F8082" w14:textId="78F8363D" w:rsidR="00D4536C" w:rsidRDefault="005E1966" w:rsidP="0003023A">
      <w:r>
        <w:t xml:space="preserve">- </w:t>
      </w:r>
      <w:r w:rsidR="0003023A">
        <w:t xml:space="preserve">at the latest on 31/01/2022 the </w:t>
      </w:r>
      <w:r w:rsidR="002E2691">
        <w:t>Coordination</w:t>
      </w:r>
      <w:r w:rsidR="0003023A">
        <w:t xml:space="preserve"> Centres will send the invoices for the one-time costs for implementation, and 7/12 share of the yearly operational costs, corresponding to the services until 31/12/2021.</w:t>
      </w:r>
    </w:p>
    <w:p w14:paraId="66E283E5" w14:textId="6545B9BE" w:rsidR="0003023A" w:rsidRDefault="0003023A" w:rsidP="0003023A">
      <w:r>
        <w:t xml:space="preserve">- at the latest on 31/01 of each year starting 2023, the </w:t>
      </w:r>
      <w:r w:rsidR="002E2691">
        <w:t>Coordination</w:t>
      </w:r>
      <w:r>
        <w:t xml:space="preserve"> Centres will send the invoices for the yearly operational costs, corresponding to the services from 01/12 to the 31/12 of the </w:t>
      </w:r>
      <w:r w:rsidR="00686952">
        <w:t>previous</w:t>
      </w:r>
      <w:r>
        <w:t xml:space="preserve"> year (starting 2022).</w:t>
      </w:r>
    </w:p>
    <w:p w14:paraId="71D1C361" w14:textId="3EF3AA54" w:rsidR="00D4536C" w:rsidRDefault="00D4536C" w:rsidP="0003023A">
      <w:r>
        <w:t xml:space="preserve">The </w:t>
      </w:r>
      <w:r w:rsidR="002E2691">
        <w:t>Coordination</w:t>
      </w:r>
      <w:r>
        <w:t xml:space="preserve"> Centres shall each sent separate invoices to the</w:t>
      </w:r>
      <w:r w:rsidR="47B176A6">
        <w:t xml:space="preserve"> respective</w:t>
      </w:r>
      <w:r>
        <w:t xml:space="preserve"> TSOs. Each invoice </w:t>
      </w:r>
      <w:r w:rsidRPr="00C40657">
        <w:t>issued shall be sent by email to the TSO</w:t>
      </w:r>
      <w:r>
        <w:t>, but at the request of a TSO a paper version shall also be provided. Invoice shall be issued not later than 14th calendar day of the next month after ending the invoiced period. Each invoice shall include at least the following items:</w:t>
      </w:r>
    </w:p>
    <w:p w14:paraId="17415D5F" w14:textId="24DA3F78" w:rsidR="00D4536C" w:rsidRDefault="00D4536C" w:rsidP="00D4536C">
      <w:pPr>
        <w:pStyle w:val="ListParagraph"/>
        <w:numPr>
          <w:ilvl w:val="0"/>
          <w:numId w:val="85"/>
        </w:numPr>
        <w:spacing w:after="0"/>
      </w:pPr>
      <w:r>
        <w:t xml:space="preserve">Full name, address and e-mail address of the respective </w:t>
      </w:r>
      <w:r w:rsidR="002E2691">
        <w:t>Coordination</w:t>
      </w:r>
      <w:r>
        <w:t xml:space="preserve"> Centre and the invoiced TSO;</w:t>
      </w:r>
    </w:p>
    <w:p w14:paraId="41A7C62D" w14:textId="63C1A819" w:rsidR="00D4536C" w:rsidRDefault="00D4536C" w:rsidP="00D4536C">
      <w:pPr>
        <w:pStyle w:val="ListParagraph"/>
        <w:numPr>
          <w:ilvl w:val="0"/>
          <w:numId w:val="85"/>
        </w:numPr>
        <w:spacing w:after="0"/>
      </w:pPr>
      <w:r>
        <w:t xml:space="preserve">VAT number of the respective </w:t>
      </w:r>
      <w:r w:rsidR="002E2691">
        <w:t>Coordination</w:t>
      </w:r>
      <w:r>
        <w:t xml:space="preserve"> Centre and the invoiced TSO;</w:t>
      </w:r>
    </w:p>
    <w:p w14:paraId="5C6A7CD2" w14:textId="77777777" w:rsidR="00D4536C" w:rsidRDefault="00D4536C" w:rsidP="00D4536C">
      <w:pPr>
        <w:pStyle w:val="ListParagraph"/>
        <w:numPr>
          <w:ilvl w:val="0"/>
          <w:numId w:val="85"/>
        </w:numPr>
        <w:spacing w:after="0"/>
      </w:pPr>
      <w:r>
        <w:t xml:space="preserve">Invoiced amount, valued in euro; </w:t>
      </w:r>
    </w:p>
    <w:p w14:paraId="7C436146" w14:textId="77777777" w:rsidR="00D4536C" w:rsidRDefault="00D4536C" w:rsidP="00D4536C">
      <w:pPr>
        <w:pStyle w:val="ListParagraph"/>
        <w:numPr>
          <w:ilvl w:val="0"/>
          <w:numId w:val="85"/>
        </w:numPr>
        <w:spacing w:after="0"/>
      </w:pPr>
      <w:r>
        <w:rPr>
          <w:rFonts w:hint="eastAsia"/>
        </w:rPr>
        <w:t>A detailed specification of the costs;</w:t>
      </w:r>
    </w:p>
    <w:p w14:paraId="3FF7A43B" w14:textId="77777777" w:rsidR="00D4536C" w:rsidRDefault="00D4536C" w:rsidP="00D4536C">
      <w:pPr>
        <w:pStyle w:val="ListParagraph"/>
        <w:numPr>
          <w:ilvl w:val="0"/>
          <w:numId w:val="85"/>
        </w:numPr>
        <w:spacing w:after="0"/>
      </w:pPr>
      <w:r>
        <w:t>Bank account and bank address (including IBAN and BIC) on which the relevant payment shall be made;</w:t>
      </w:r>
    </w:p>
    <w:p w14:paraId="1A643132" w14:textId="77777777" w:rsidR="00D4536C" w:rsidRDefault="00D4536C" w:rsidP="00D4536C">
      <w:pPr>
        <w:pStyle w:val="ListParagraph"/>
        <w:numPr>
          <w:ilvl w:val="0"/>
          <w:numId w:val="85"/>
        </w:numPr>
        <w:spacing w:after="0"/>
      </w:pPr>
      <w:r>
        <w:t>Invoice number;</w:t>
      </w:r>
    </w:p>
    <w:p w14:paraId="10C002C4" w14:textId="77777777" w:rsidR="00D4536C" w:rsidRDefault="00D4536C" w:rsidP="00D4536C">
      <w:pPr>
        <w:pStyle w:val="ListParagraph"/>
        <w:numPr>
          <w:ilvl w:val="0"/>
          <w:numId w:val="85"/>
        </w:numPr>
        <w:spacing w:after="0"/>
      </w:pPr>
      <w:r>
        <w:t>Invoice issue date;</w:t>
      </w:r>
    </w:p>
    <w:p w14:paraId="3136C423" w14:textId="77777777" w:rsidR="00D4536C" w:rsidRDefault="00D4536C" w:rsidP="00D4536C">
      <w:pPr>
        <w:pStyle w:val="ListParagraph"/>
        <w:numPr>
          <w:ilvl w:val="0"/>
          <w:numId w:val="85"/>
        </w:numPr>
        <w:spacing w:after="0"/>
      </w:pPr>
      <w:r>
        <w:t>Invoicing period</w:t>
      </w:r>
      <w:r w:rsidRPr="006433B0">
        <w:t xml:space="preserve"> </w:t>
      </w:r>
      <w:r>
        <w:t>from date _______to date_______;</w:t>
      </w:r>
    </w:p>
    <w:p w14:paraId="1D0F4FA1" w14:textId="6EDCD78A" w:rsidR="00D4536C" w:rsidRDefault="00D4536C" w:rsidP="00D4536C">
      <w:pPr>
        <w:pStyle w:val="ListParagraph"/>
        <w:numPr>
          <w:ilvl w:val="0"/>
          <w:numId w:val="85"/>
        </w:numPr>
        <w:spacing w:after="0"/>
      </w:pPr>
      <w:r>
        <w:t>Designation of the service on the invoice;</w:t>
      </w:r>
    </w:p>
    <w:p w14:paraId="6F6E8FF4" w14:textId="77777777" w:rsidR="00D4536C" w:rsidRDefault="00D4536C" w:rsidP="00D4536C">
      <w:pPr>
        <w:pStyle w:val="ListParagraph"/>
        <w:numPr>
          <w:ilvl w:val="0"/>
          <w:numId w:val="85"/>
        </w:numPr>
        <w:spacing w:after="0"/>
      </w:pPr>
      <w:r>
        <w:t>Tax rate and tax amount separately, if any;</w:t>
      </w:r>
    </w:p>
    <w:p w14:paraId="7F9573E1" w14:textId="77777777" w:rsidR="00D4536C" w:rsidRDefault="00D4536C" w:rsidP="00D4536C">
      <w:pPr>
        <w:pStyle w:val="ListParagraph"/>
        <w:numPr>
          <w:ilvl w:val="0"/>
          <w:numId w:val="85"/>
        </w:numPr>
        <w:spacing w:after="0"/>
      </w:pPr>
      <w:r>
        <w:t>Specific constraint for invoicing, required by article 226 of Directive 2006/112/CE, if any, e.g. indication of the reference to the applicable provision of the Directive where the supply of services is subject to the VAT reverse charge procedure;</w:t>
      </w:r>
    </w:p>
    <w:p w14:paraId="238B82D7" w14:textId="77777777" w:rsidR="00D4536C" w:rsidRDefault="00D4536C" w:rsidP="00D4536C">
      <w:pPr>
        <w:pStyle w:val="ListParagraph"/>
        <w:numPr>
          <w:ilvl w:val="0"/>
          <w:numId w:val="85"/>
        </w:numPr>
        <w:spacing w:after="0"/>
      </w:pPr>
      <w:r>
        <w:t>Reference if required by the invoiced TSO; and</w:t>
      </w:r>
    </w:p>
    <w:p w14:paraId="3A272E93" w14:textId="77777777" w:rsidR="00D4536C" w:rsidRDefault="00D4536C" w:rsidP="00D4536C">
      <w:pPr>
        <w:pStyle w:val="ListParagraph"/>
        <w:numPr>
          <w:ilvl w:val="0"/>
          <w:numId w:val="85"/>
        </w:numPr>
        <w:spacing w:after="0"/>
      </w:pPr>
      <w:r>
        <w:t>Payment term.</w:t>
      </w:r>
    </w:p>
    <w:p w14:paraId="0C328749" w14:textId="77777777" w:rsidR="00D4536C" w:rsidRDefault="00D4536C" w:rsidP="00F07EAC">
      <w:pPr>
        <w:spacing w:after="0"/>
      </w:pPr>
    </w:p>
    <w:p w14:paraId="097CB2BF" w14:textId="77777777" w:rsidR="00D4536C" w:rsidRDefault="00D4536C" w:rsidP="00D4536C">
      <w:pPr>
        <w:spacing w:after="0"/>
      </w:pPr>
    </w:p>
    <w:p w14:paraId="0FE1F7D8" w14:textId="0BF322DD" w:rsidR="00D4536C" w:rsidRDefault="00D4536C" w:rsidP="00D4536C">
      <w:pPr>
        <w:spacing w:after="0"/>
      </w:pPr>
      <w:r>
        <w:t>Reference or purchase order numbers necessary for identifying payments internally, contact persons and contact details</w:t>
      </w:r>
      <w:r w:rsidR="00260D4F">
        <w:t xml:space="preserve"> for the sake of sending invoice</w:t>
      </w:r>
      <w:r>
        <w:t xml:space="preserve"> shall be requested by the </w:t>
      </w:r>
      <w:r w:rsidR="002E2691">
        <w:t>Coordination</w:t>
      </w:r>
      <w:r>
        <w:t xml:space="preserve"> Centre from each TSO.</w:t>
      </w:r>
    </w:p>
    <w:p w14:paraId="6AEDE49F" w14:textId="77777777" w:rsidR="00D4536C" w:rsidRDefault="00D4536C" w:rsidP="00D4536C">
      <w:pPr>
        <w:spacing w:after="0"/>
      </w:pPr>
    </w:p>
    <w:p w14:paraId="436888B8" w14:textId="77777777" w:rsidR="00D4536C" w:rsidRDefault="00D4536C" w:rsidP="00D4536C">
      <w:r>
        <w:t>Invoices shall be paid within thirty (30) calendar days from the end of the month of the receipt of the respective invoice. All payment(s) shall be made by wire transfer to the bank account indicated in the invoice(s).</w:t>
      </w:r>
    </w:p>
    <w:p w14:paraId="1C51D67C" w14:textId="098D4192" w:rsidR="00D4536C" w:rsidRDefault="00D4536C" w:rsidP="00D4536C">
      <w:r>
        <w:lastRenderedPageBreak/>
        <w:t>If a TSO disputes</w:t>
      </w:r>
      <w:r w:rsidR="15914F32">
        <w:t xml:space="preserve"> any invoice,</w:t>
      </w:r>
      <w:r>
        <w:t xml:space="preserve"> it shall; (i) pay all charges not disputed, and (ii) notify the </w:t>
      </w:r>
      <w:r w:rsidR="002E2691">
        <w:t>Coordination</w:t>
      </w:r>
      <w:r>
        <w:t xml:space="preserve"> Centre</w:t>
      </w:r>
      <w:r w:rsidR="0003023A">
        <w:t>, as indicated in the invoice,</w:t>
      </w:r>
      <w:r>
        <w:t xml:space="preserve"> of the dispute in writing, providing the invoice number and an explanation of the issue in dispute.</w:t>
      </w:r>
    </w:p>
    <w:p w14:paraId="0A9E0C25" w14:textId="0B1923E2" w:rsidR="00D4536C" w:rsidRDefault="00D4536C" w:rsidP="00D4536C">
      <w:r>
        <w:t xml:space="preserve">In the event of failure to pay the invoiced amount within the abovementioned payment period, the </w:t>
      </w:r>
      <w:r w:rsidR="002E2691">
        <w:t>Coordination</w:t>
      </w:r>
      <w:r>
        <w:t xml:space="preserve"> Centre sends a reminder and has the right to automatically charge the defaulting TSO interest for late payment. For the following months, the interest for late payment, on any amount effectively due, will be the positive one month EURIBOR rate or zero, if the one month EURIBOR rate is negative.</w:t>
      </w:r>
    </w:p>
    <w:p w14:paraId="698CCE19" w14:textId="28604A0C" w:rsidR="002B21A8" w:rsidRDefault="00D4536C" w:rsidP="002B21A8">
      <w:r>
        <w:t>All payments shall be made in euro and, unless otherwise agreed in writing, shall be made without set-off or counterclaim.</w:t>
      </w:r>
    </w:p>
    <w:p w14:paraId="6F0EA703" w14:textId="63E54E46" w:rsidR="002B21A8" w:rsidRDefault="002B21A8" w:rsidP="002B21A8">
      <w:r>
        <w:t xml:space="preserve">When any tax or duty is due by TSOs in their countries at receipt of the invoices issued by the </w:t>
      </w:r>
      <w:r w:rsidR="002E2691">
        <w:t>Coordination</w:t>
      </w:r>
      <w:r w:rsidR="004164DC">
        <w:t xml:space="preserve"> </w:t>
      </w:r>
      <w:r>
        <w:t>C</w:t>
      </w:r>
      <w:r w:rsidR="004164DC">
        <w:t>entre</w:t>
      </w:r>
      <w:r>
        <w:t xml:space="preserve"> for its services, it should be paid on top of the amounts due to the latter. It is understood that all amounts billed by the </w:t>
      </w:r>
      <w:r w:rsidR="002E2691">
        <w:t>Coordination</w:t>
      </w:r>
      <w:r w:rsidR="004164DC">
        <w:t xml:space="preserve"> </w:t>
      </w:r>
      <w:r>
        <w:t>C</w:t>
      </w:r>
      <w:r w:rsidR="004164DC">
        <w:t>entr</w:t>
      </w:r>
      <w:r w:rsidR="0045067B">
        <w:t>e</w:t>
      </w:r>
      <w:r>
        <w:t xml:space="preserve"> are exclusive of applicable taxes and duties. </w:t>
      </w:r>
      <w:bookmarkStart w:id="152" w:name="_Hlk84910805"/>
      <w:r>
        <w:t xml:space="preserve">The parties confirm that two previous sentences do not apply to a potential withholding tax applicable in Poland. </w:t>
      </w:r>
      <w:r w:rsidRPr="00D00019">
        <w:t xml:space="preserve">The specific regulations with regard to a withholding tax due in Poland </w:t>
      </w:r>
      <w:bookmarkEnd w:id="152"/>
      <w:r w:rsidRPr="00D00019">
        <w:t xml:space="preserve">are determined </w:t>
      </w:r>
      <w:r>
        <w:t xml:space="preserve">in the following provisions of section C-9 of this Annex </w:t>
      </w:r>
      <w:r w:rsidR="00EB03D7">
        <w:t xml:space="preserve">3 </w:t>
      </w:r>
      <w:r>
        <w:t>as well as in section C-13 of this Annex 3.</w:t>
      </w:r>
      <w:r w:rsidRPr="00D00019">
        <w:t xml:space="preserve"> </w:t>
      </w:r>
    </w:p>
    <w:p w14:paraId="485BD741" w14:textId="57102B3C" w:rsidR="002B21A8" w:rsidRDefault="009E2D69" w:rsidP="009E2D69">
      <w:r w:rsidRPr="00C77ACC">
        <w:t xml:space="preserve">The </w:t>
      </w:r>
      <w:r>
        <w:t xml:space="preserve">net </w:t>
      </w:r>
      <w:r w:rsidRPr="00C77ACC">
        <w:t xml:space="preserve">remuneration due to the </w:t>
      </w:r>
      <w:r w:rsidR="002E2691">
        <w:t>Coordination</w:t>
      </w:r>
      <w:r w:rsidR="004164DC">
        <w:t xml:space="preserve"> </w:t>
      </w:r>
      <w:r>
        <w:t>C</w:t>
      </w:r>
      <w:r w:rsidR="004164DC">
        <w:t>entre</w:t>
      </w:r>
      <w:r w:rsidR="007A0A1E">
        <w:t xml:space="preserve"> (i.e. remuneration exclusive of VAT)</w:t>
      </w:r>
      <w:r w:rsidRPr="00C77ACC">
        <w:t xml:space="preserve"> includes the amount of withholding tax due in Poland on taxable income received by foreign entities. In the event that, in accordance with applicable tax regulations, PSE is obliged to deduct from the </w:t>
      </w:r>
      <w:r w:rsidR="002E2691">
        <w:t>Coordination</w:t>
      </w:r>
      <w:r w:rsidR="004164DC">
        <w:t xml:space="preserve"> </w:t>
      </w:r>
      <w:r>
        <w:t>C</w:t>
      </w:r>
      <w:r w:rsidR="004164DC">
        <w:t>entre</w:t>
      </w:r>
      <w:r w:rsidRPr="00C77ACC">
        <w:t>’s payment the amount of withholding tax due in Poland, PSE shall make this deduction taking into account the applicable rate and the principles set out in the relevant Polish tax law and double taxation agreements</w:t>
      </w:r>
      <w:r>
        <w:t xml:space="preserve">.  </w:t>
      </w:r>
    </w:p>
    <w:p w14:paraId="2DB5538B" w14:textId="1224093B" w:rsidR="002B21A8" w:rsidRDefault="009E2D69" w:rsidP="009E2D69">
      <w:r w:rsidRPr="00C77ACC">
        <w:t>In order for PSE to apply the</w:t>
      </w:r>
      <w:r w:rsidR="006A7374">
        <w:t xml:space="preserve"> exemption or the</w:t>
      </w:r>
      <w:r w:rsidRPr="00C77ACC">
        <w:t xml:space="preserve"> appropriate</w:t>
      </w:r>
      <w:r w:rsidR="002B21A8">
        <w:t xml:space="preserve"> reduced</w:t>
      </w:r>
      <w:r w:rsidRPr="00C77ACC">
        <w:t xml:space="preserve"> tax rate of withholding tax in Poland on income obtained by foreign entities</w:t>
      </w:r>
      <w:r>
        <w:t xml:space="preserve">, the </w:t>
      </w:r>
      <w:r w:rsidR="002E2691">
        <w:t>Coordination</w:t>
      </w:r>
      <w:r w:rsidR="004164DC">
        <w:t xml:space="preserve"> </w:t>
      </w:r>
      <w:r>
        <w:t>C</w:t>
      </w:r>
      <w:r w:rsidR="004164DC">
        <w:t>entre</w:t>
      </w:r>
      <w:r>
        <w:t xml:space="preserve"> shall </w:t>
      </w:r>
      <w:r w:rsidRPr="00C77ACC">
        <w:t>deliver</w:t>
      </w:r>
      <w:r w:rsidR="008867EE">
        <w:t>, in accordance with the following provision</w:t>
      </w:r>
      <w:r w:rsidR="00C85AA6">
        <w:t>,</w:t>
      </w:r>
      <w:r w:rsidRPr="00C77ACC">
        <w:t xml:space="preserve"> a valid and original tax residence certificate issued by tax authorities competent for the </w:t>
      </w:r>
      <w:r w:rsidR="002E2691">
        <w:t>Coordination</w:t>
      </w:r>
      <w:r w:rsidR="004164DC">
        <w:t xml:space="preserve"> </w:t>
      </w:r>
      <w:r>
        <w:t>C</w:t>
      </w:r>
      <w:r w:rsidR="004164DC">
        <w:t>entre</w:t>
      </w:r>
      <w:r w:rsidRPr="00C77ACC">
        <w:t xml:space="preserve">’s registered </w:t>
      </w:r>
      <w:r>
        <w:t xml:space="preserve">office and documents mentioned in the section C-13 of this Annex 3. </w:t>
      </w:r>
    </w:p>
    <w:p w14:paraId="1A764AA1" w14:textId="65F637AF" w:rsidR="00260D4F" w:rsidRDefault="00260D4F" w:rsidP="00260D4F">
      <w:r>
        <w:t xml:space="preserve">Upon request of a TSO, </w:t>
      </w:r>
      <w:r w:rsidR="002E2691">
        <w:t>Coordination</w:t>
      </w:r>
      <w:r>
        <w:t xml:space="preserve"> Centres shall deliver a valid and original tax residence certificate issued by tax authorities competent for the </w:t>
      </w:r>
      <w:r w:rsidR="002E2691">
        <w:t>Coordination</w:t>
      </w:r>
      <w:r>
        <w:t xml:space="preserve"> Centre</w:t>
      </w:r>
      <w:r w:rsidR="002F76C3">
        <w:t>’s</w:t>
      </w:r>
      <w:r>
        <w:t xml:space="preserve"> registered headquarters to </w:t>
      </w:r>
      <w:r w:rsidR="002F76C3">
        <w:t>requesting TSO</w:t>
      </w:r>
      <w:r>
        <w:t xml:space="preserve">, </w:t>
      </w:r>
      <w:r w:rsidDel="002B21A8">
        <w:t xml:space="preserve">after concluding this Annex, but not later than by the 10th calendar day prior to the date of the first payment and at least 30 calendar days prior to the expiry of each running calendar year, while the Annex being in force. In the event of a change of tax residence, the </w:t>
      </w:r>
      <w:r w:rsidR="002E2691">
        <w:t>Coordination</w:t>
      </w:r>
      <w:r w:rsidR="002F76C3" w:rsidDel="002B21A8">
        <w:t xml:space="preserve"> </w:t>
      </w:r>
      <w:r w:rsidDel="002B21A8">
        <w:t>C</w:t>
      </w:r>
      <w:r w:rsidR="002F76C3" w:rsidDel="002B21A8">
        <w:t>entre</w:t>
      </w:r>
      <w:r w:rsidDel="002B21A8">
        <w:t xml:space="preserve"> is required to provide </w:t>
      </w:r>
      <w:r w:rsidR="002F76C3" w:rsidDel="002B21A8">
        <w:t>requesting TSO</w:t>
      </w:r>
      <w:r w:rsidDel="002B21A8">
        <w:t xml:space="preserve"> with a valid and original tax residence certificate of the new state of tax residence issued by the relevant tax authorities, however not later than by the 10th calendar day prior to the expiry of the payment period of the part of the payment due after the change of tax residence. The costs associated with obtaining the original certificate of tax residence (in particular, any administrative fees) shall be borne by the </w:t>
      </w:r>
      <w:r w:rsidR="002E2691">
        <w:t>Coordination</w:t>
      </w:r>
      <w:r w:rsidR="002F76C3" w:rsidDel="002B21A8">
        <w:t xml:space="preserve"> </w:t>
      </w:r>
      <w:r w:rsidDel="002B21A8">
        <w:t>C</w:t>
      </w:r>
      <w:r w:rsidR="002F76C3" w:rsidDel="002B21A8">
        <w:t>entre</w:t>
      </w:r>
      <w:r w:rsidDel="002B21A8">
        <w:t>.</w:t>
      </w:r>
    </w:p>
    <w:p w14:paraId="7ED4A0B1" w14:textId="0F672A23" w:rsidR="00D10679" w:rsidRPr="004B67A4" w:rsidRDefault="00D10679" w:rsidP="00D10679">
      <w:r w:rsidRPr="004B67A4">
        <w:t xml:space="preserve">In the event of failure to comply with the obligation </w:t>
      </w:r>
      <w:r w:rsidR="007A0A1E">
        <w:t>to deliver a correct tax residency certificate or with the obligations set out in</w:t>
      </w:r>
      <w:r w:rsidRPr="004B67A4">
        <w:t xml:space="preserve"> </w:t>
      </w:r>
      <w:r>
        <w:t xml:space="preserve">section </w:t>
      </w:r>
      <w:r w:rsidRPr="004B67A4">
        <w:t xml:space="preserve">C-13 of this Annex 3 </w:t>
      </w:r>
      <w:r>
        <w:t>each</w:t>
      </w:r>
      <w:r w:rsidRPr="004B67A4">
        <w:t xml:space="preserve"> </w:t>
      </w:r>
      <w:r w:rsidR="002E2691">
        <w:t>Coordination</w:t>
      </w:r>
      <w:r w:rsidR="002176EF">
        <w:t xml:space="preserve"> </w:t>
      </w:r>
      <w:r>
        <w:t>C</w:t>
      </w:r>
      <w:r w:rsidR="002176EF">
        <w:t>entre</w:t>
      </w:r>
      <w:r w:rsidRPr="004B67A4">
        <w:t xml:space="preserve"> confirms that it is aware of the obligation of PSE to reduce the payment due to the </w:t>
      </w:r>
      <w:r w:rsidR="002E2691">
        <w:t>Coordination</w:t>
      </w:r>
      <w:r w:rsidR="002176EF">
        <w:t xml:space="preserve"> </w:t>
      </w:r>
      <w:r>
        <w:t>C</w:t>
      </w:r>
      <w:r w:rsidR="002176EF">
        <w:t>entre</w:t>
      </w:r>
      <w:r w:rsidRPr="004B67A4">
        <w:t xml:space="preserve"> by the amount corresponding to the value of the withholding tax due in Poland (if PSE </w:t>
      </w:r>
      <w:r w:rsidRPr="004B67A4">
        <w:lastRenderedPageBreak/>
        <w:t xml:space="preserve">is obliged to collect such tax pursuant to Polish tax provisions, tax rulings or decisions received by PSE individually or in accordance with generally available practice and/or standpoint of the Polish tax authorities) and the </w:t>
      </w:r>
      <w:r w:rsidR="002E2691">
        <w:t>Coordination</w:t>
      </w:r>
      <w:r w:rsidR="002176EF">
        <w:t xml:space="preserve"> </w:t>
      </w:r>
      <w:r>
        <w:t>C</w:t>
      </w:r>
      <w:r w:rsidR="002176EF">
        <w:t>entre</w:t>
      </w:r>
      <w:r w:rsidRPr="004B67A4">
        <w:t xml:space="preserve"> agrees for such deduction.</w:t>
      </w:r>
      <w:r w:rsidR="009F41C5">
        <w:t xml:space="preserve"> The </w:t>
      </w:r>
      <w:r w:rsidR="002E2691">
        <w:t>Coordination</w:t>
      </w:r>
      <w:r w:rsidR="002176EF">
        <w:t xml:space="preserve"> </w:t>
      </w:r>
      <w:r w:rsidR="009F41C5">
        <w:t>C</w:t>
      </w:r>
      <w:r w:rsidR="002176EF">
        <w:t>entre</w:t>
      </w:r>
      <w:r w:rsidR="009F41C5">
        <w:t xml:space="preserve"> agrees also for a deduction of the tax amount</w:t>
      </w:r>
      <w:r w:rsidR="00712091">
        <w:t xml:space="preserve"> from the remuneration due to the </w:t>
      </w:r>
      <w:r w:rsidR="002E2691">
        <w:t>Coordination</w:t>
      </w:r>
      <w:r w:rsidR="00712091">
        <w:t xml:space="preserve"> Centre</w:t>
      </w:r>
      <w:r w:rsidR="009F41C5">
        <w:t xml:space="preserve"> if PSE is obliged to withhold such tax (</w:t>
      </w:r>
      <w:r w:rsidR="009F41C5" w:rsidRPr="004B67A4">
        <w:t>pursuant to Polish tax provisions, tax rulings or decisions received by PSE individually or in accordance with generally available practice and/or standpoint of the Polish tax authorities</w:t>
      </w:r>
      <w:r w:rsidR="009F41C5">
        <w:t>) despite the documentation being delivered in accordance with this Annex 3</w:t>
      </w:r>
      <w:r w:rsidR="00392E2C">
        <w:t>, in particular with its section C-13</w:t>
      </w:r>
      <w:r w:rsidR="009F41C5">
        <w:t>.</w:t>
      </w:r>
    </w:p>
    <w:p w14:paraId="22B25695" w14:textId="064DC34E" w:rsidR="00A36536" w:rsidRDefault="00A36536" w:rsidP="0079377A"/>
    <w:p w14:paraId="2A237211" w14:textId="3C80EA97" w:rsidR="00443483" w:rsidRPr="00C87891" w:rsidRDefault="00060F52" w:rsidP="00D4536C">
      <w:pPr>
        <w:pStyle w:val="Heading2"/>
      </w:pPr>
      <w:bookmarkStart w:id="153" w:name="_Toc107495749"/>
      <w:r>
        <w:t>Transitory provision</w:t>
      </w:r>
      <w:bookmarkEnd w:id="149"/>
      <w:bookmarkEnd w:id="150"/>
      <w:bookmarkEnd w:id="153"/>
    </w:p>
    <w:p w14:paraId="70A50792" w14:textId="0F0F4F25" w:rsidR="00A07290" w:rsidRDefault="00AA679C" w:rsidP="00060F52">
      <w:pPr>
        <w:jc w:val="left"/>
        <w:rPr>
          <w:rStyle w:val="Strong"/>
        </w:rPr>
      </w:pPr>
      <w:r w:rsidRPr="00632FF6">
        <w:rPr>
          <w:rStyle w:val="Strong"/>
        </w:rPr>
        <w:t>Transition from Compensation Program to Financial Settlement</w:t>
      </w:r>
    </w:p>
    <w:p w14:paraId="1805257C" w14:textId="77777777" w:rsidR="004D51F1" w:rsidRPr="009603D1" w:rsidRDefault="004D51F1" w:rsidP="004D51F1">
      <w:pPr>
        <w:rPr>
          <w:rStyle w:val="Strong"/>
          <w:b w:val="0"/>
          <w:bCs w:val="0"/>
        </w:rPr>
      </w:pPr>
      <w:r w:rsidRPr="384D70B8">
        <w:rPr>
          <w:rStyle w:val="Strong"/>
          <w:b w:val="0"/>
          <w:bCs w:val="0"/>
        </w:rPr>
        <w:t xml:space="preserve">RG CE Plenary must decide on the date for the go-live of the financial settlement, meaning the first day where the procedures as described in this Policy will be used. The go-live date must correspond to a day at the end of the recording periods of the compensation calendar. </w:t>
      </w:r>
      <w:r w:rsidRPr="384D70B8">
        <w:rPr>
          <w:rFonts w:cs="Arial"/>
        </w:rPr>
        <w:t xml:space="preserve">Until go-live of the Financial Settlement, the compensation of unintentional exchange shall be performed according to the current procedures as agreed in Annex 3 of the SAFA dated 14.04.2019. </w:t>
      </w:r>
      <w:r w:rsidRPr="384D70B8">
        <w:rPr>
          <w:rStyle w:val="Strong"/>
          <w:b w:val="0"/>
          <w:bCs w:val="0"/>
        </w:rPr>
        <w:t xml:space="preserve">At the go-live of the financial settlement, a compensation program based on the final accounts of the Unintentional Deviations will be calculated. This will result in a separate final compensation program for summer and winter period, which shall be compensated within the corresponding compensation periods as reflected in the compensation calendar. These compensation programs will be added to the energy exchange schedule for the relevant periods. </w:t>
      </w:r>
    </w:p>
    <w:p w14:paraId="627FCCA0" w14:textId="64EF68FA" w:rsidR="009603D1" w:rsidRPr="009603D1" w:rsidRDefault="009603D1" w:rsidP="009603D1">
      <w:pPr>
        <w:rPr>
          <w:rStyle w:val="Strong"/>
          <w:b w:val="0"/>
          <w:bCs w:val="0"/>
        </w:rPr>
      </w:pPr>
      <w:r w:rsidRPr="009603D1">
        <w:rPr>
          <w:rStyle w:val="Strong"/>
          <w:b w:val="0"/>
          <w:bCs w:val="0"/>
        </w:rPr>
        <w:t>The unintentional exchange on the final accounts of Unintentional Deviations will not be fully compensated through the realization of the final compensation programs in the transition period. In order to settle the remaining, not compensated energy, the realized control programs used as an input for financial settlement process shall contain the compensati</w:t>
      </w:r>
      <w:r>
        <w:rPr>
          <w:rStyle w:val="Strong"/>
          <w:b w:val="0"/>
          <w:bCs w:val="0"/>
        </w:rPr>
        <w:t>on programs in accuracy of 1 kW</w:t>
      </w:r>
      <w:r w:rsidR="00B44BF6">
        <w:rPr>
          <w:rStyle w:val="Strong"/>
          <w:b w:val="0"/>
          <w:bCs w:val="0"/>
        </w:rPr>
        <w:t>h</w:t>
      </w:r>
      <w:r w:rsidRPr="009603D1">
        <w:rPr>
          <w:rStyle w:val="Strong"/>
          <w:b w:val="0"/>
          <w:bCs w:val="0"/>
        </w:rPr>
        <w:t xml:space="preserve">. </w:t>
      </w:r>
    </w:p>
    <w:p w14:paraId="44395473" w14:textId="497D4947" w:rsidR="008B55C3" w:rsidRDefault="009603D1" w:rsidP="009603D1">
      <w:pPr>
        <w:rPr>
          <w:rStyle w:val="Strong"/>
          <w:b w:val="0"/>
          <w:bCs w:val="0"/>
        </w:rPr>
      </w:pPr>
      <w:r w:rsidRPr="009603D1">
        <w:rPr>
          <w:rStyle w:val="Strong"/>
          <w:b w:val="0"/>
          <w:bCs w:val="0"/>
        </w:rPr>
        <w:t>After termination of both final compensation programs, for the summer and the winter period, and the settlement of energy remaining on the final accounts of Unintentional Deviations i</w:t>
      </w:r>
      <w:r>
        <w:rPr>
          <w:rStyle w:val="Strong"/>
          <w:b w:val="0"/>
          <w:bCs w:val="0"/>
        </w:rPr>
        <w:t>n line with the Financial Settlement</w:t>
      </w:r>
      <w:r w:rsidRPr="009603D1">
        <w:rPr>
          <w:rStyle w:val="Strong"/>
          <w:b w:val="0"/>
          <w:bCs w:val="0"/>
        </w:rPr>
        <w:t xml:space="preserve">, the transition from the compensation program to the financial settlement is considered as completed. </w:t>
      </w:r>
    </w:p>
    <w:p w14:paraId="3123D0B0" w14:textId="40EFE9E1" w:rsidR="00D26D6B" w:rsidRDefault="008B55C3" w:rsidP="00B51B29">
      <w:pPr>
        <w:rPr>
          <w:rStyle w:val="Strong"/>
          <w:b w:val="0"/>
          <w:bCs w:val="0"/>
        </w:rPr>
      </w:pPr>
      <w:r>
        <w:rPr>
          <w:rStyle w:val="Strong"/>
          <w:b w:val="0"/>
          <w:bCs w:val="0"/>
        </w:rPr>
        <w:t xml:space="preserve">Unintended exchanges, which occur during the transition period, shall be settled financially according to the method described in this document. </w:t>
      </w:r>
    </w:p>
    <w:p w14:paraId="4EEC3A2C" w14:textId="53566E79" w:rsidR="00D26D6B" w:rsidRPr="00274E91" w:rsidRDefault="00D26D6B" w:rsidP="00F7398B">
      <w:pPr>
        <w:pStyle w:val="Heading2"/>
        <w:rPr>
          <w:rStyle w:val="Strong"/>
        </w:rPr>
      </w:pPr>
      <w:bookmarkStart w:id="154" w:name="_Toc107495750"/>
      <w:r w:rsidRPr="00E16283">
        <w:rPr>
          <w:rStyle w:val="Strong"/>
          <w:b/>
          <w:bCs/>
        </w:rPr>
        <w:t xml:space="preserve">Termination by </w:t>
      </w:r>
      <w:r w:rsidR="002E2691">
        <w:rPr>
          <w:rStyle w:val="Strong"/>
          <w:b/>
          <w:bCs/>
        </w:rPr>
        <w:t>Coordination</w:t>
      </w:r>
      <w:r w:rsidRPr="00E16283">
        <w:rPr>
          <w:rStyle w:val="Strong"/>
          <w:b/>
          <w:bCs/>
        </w:rPr>
        <w:t xml:space="preserve"> Centres</w:t>
      </w:r>
      <w:bookmarkEnd w:id="154"/>
    </w:p>
    <w:p w14:paraId="10F43A97" w14:textId="02B00CED" w:rsidR="00D26D6B" w:rsidRDefault="00D26D6B" w:rsidP="5BCF031F">
      <w:r>
        <w:t xml:space="preserve">Each entity appointed to perform the role of </w:t>
      </w:r>
      <w:r w:rsidR="002E2691">
        <w:t>Coordination</w:t>
      </w:r>
      <w:r>
        <w:t xml:space="preserve"> Centre may cease to perform the functions set out in this Annex 3 </w:t>
      </w:r>
      <w:r w:rsidR="004D51F1" w:rsidRPr="00D26D6B">
        <w:t xml:space="preserve">subject to a period of notice of </w:t>
      </w:r>
      <w:r w:rsidR="004D51F1">
        <w:t>twelve (12</w:t>
      </w:r>
      <w:r w:rsidR="004D51F1" w:rsidRPr="00D26D6B">
        <w:t xml:space="preserve">) months </w:t>
      </w:r>
      <w:r w:rsidRPr="00D26D6B">
        <w:t xml:space="preserve">for </w:t>
      </w:r>
      <w:r>
        <w:t>any</w:t>
      </w:r>
      <w:r w:rsidRPr="00D26D6B">
        <w:t xml:space="preserve"> reasons of its own</w:t>
      </w:r>
      <w:r>
        <w:t>.</w:t>
      </w:r>
    </w:p>
    <w:p w14:paraId="487D904B" w14:textId="7CDC20A1" w:rsidR="00D26D6B" w:rsidRDefault="00D26D6B" w:rsidP="5BCF031F">
      <w:r>
        <w:t>Upon notice of termination the enti</w:t>
      </w:r>
      <w:r w:rsidR="009F3935">
        <w:t>t</w:t>
      </w:r>
      <w:r>
        <w:t xml:space="preserve">y commits itself to assist the newly appointed entity in taking over all needed information for the performance of the role of </w:t>
      </w:r>
      <w:r w:rsidR="002E2691">
        <w:t>Coordination</w:t>
      </w:r>
      <w:r>
        <w:t xml:space="preserve"> Centre.</w:t>
      </w:r>
    </w:p>
    <w:p w14:paraId="03FC66D7" w14:textId="5679A444" w:rsidR="00060F52" w:rsidRPr="00274E91" w:rsidRDefault="00D26D6B" w:rsidP="00B51B29">
      <w:pPr>
        <w:rPr>
          <w:rStyle w:val="Strong"/>
          <w:b w:val="0"/>
          <w:bCs w:val="0"/>
        </w:rPr>
      </w:pPr>
      <w:r>
        <w:t>The entity shall provide technical assistance to the newly appointed entity free of charge.</w:t>
      </w:r>
      <w:r w:rsidR="00060F52" w:rsidRPr="00B51B29">
        <w:rPr>
          <w:rStyle w:val="Strong"/>
          <w:b w:val="0"/>
        </w:rPr>
        <w:br w:type="page"/>
      </w:r>
    </w:p>
    <w:p w14:paraId="050204F9" w14:textId="1932E885" w:rsidR="00736A9B" w:rsidRPr="008F75E1" w:rsidRDefault="00736A9B" w:rsidP="00090F5B"/>
    <w:p w14:paraId="39858725" w14:textId="23DCC2F1" w:rsidR="00922DF2" w:rsidRPr="00C87891" w:rsidRDefault="00137192" w:rsidP="00F7398B">
      <w:pPr>
        <w:pStyle w:val="Heading2"/>
      </w:pPr>
      <w:bookmarkStart w:id="155" w:name="_Toc107495751"/>
      <w:r>
        <w:t>Supplements</w:t>
      </w:r>
      <w:bookmarkEnd w:id="155"/>
    </w:p>
    <w:p w14:paraId="529E633E" w14:textId="37CD55DC" w:rsidR="0078053C" w:rsidRPr="00C87891" w:rsidRDefault="0078053C" w:rsidP="00F7398B">
      <w:pPr>
        <w:pStyle w:val="Heading3"/>
      </w:pPr>
      <w:bookmarkStart w:id="156" w:name="_Toc107495752"/>
      <w:r w:rsidRPr="00C87891">
        <w:t>Equation terms</w:t>
      </w:r>
      <w:bookmarkEnd w:id="156"/>
    </w:p>
    <w:p w14:paraId="21522255" w14:textId="6CB7BC49" w:rsidR="0042530A" w:rsidRPr="00C87891" w:rsidRDefault="00D26D46" w:rsidP="0042530A">
      <w:pPr>
        <w:pStyle w:val="NoSpacing"/>
        <w:ind w:left="1418" w:hanging="1418"/>
        <w:rPr>
          <w:lang w:val="en-US"/>
        </w:rPr>
      </w:pPr>
      <m:oMath>
        <m:sSub>
          <m:sSubPr>
            <m:ctrlPr>
              <w:rPr>
                <w:rFonts w:ascii="Cambria Math" w:hAnsi="Cambria Math"/>
                <w:i/>
              </w:rPr>
            </m:ctrlPr>
          </m:sSubPr>
          <m:e>
            <m:r>
              <w:rPr>
                <w:rFonts w:ascii="Cambria Math" w:hAnsi="Cambria Math"/>
              </w:rPr>
              <m:t>E</m:t>
            </m:r>
          </m:e>
          <m:sub>
            <m:r>
              <w:rPr>
                <w:rFonts w:ascii="Cambria Math" w:hAnsi="Cambria Math"/>
              </w:rPr>
              <m:t>ex</m:t>
            </m:r>
          </m:sub>
        </m:sSub>
      </m:oMath>
      <w:r w:rsidR="0042530A" w:rsidRPr="00C87891">
        <w:rPr>
          <w:lang w:val="en-US"/>
        </w:rPr>
        <w:t xml:space="preserve"> </w:t>
      </w:r>
      <w:r w:rsidR="0042530A" w:rsidRPr="00C87891">
        <w:rPr>
          <w:lang w:val="en-US"/>
        </w:rPr>
        <w:tab/>
      </w:r>
      <w:r w:rsidR="00A50180">
        <w:rPr>
          <w:lang w:val="en-US"/>
        </w:rPr>
        <w:t>S</w:t>
      </w:r>
      <w:r w:rsidR="0042530A" w:rsidRPr="00C87891">
        <w:rPr>
          <w:lang w:val="en-US"/>
        </w:rPr>
        <w:t xml:space="preserve">um of cross-border </w:t>
      </w:r>
      <w:r w:rsidR="008151B4" w:rsidRPr="00C87891">
        <w:rPr>
          <w:lang w:val="en-US"/>
        </w:rPr>
        <w:t>Tie-Line</w:t>
      </w:r>
      <w:r w:rsidR="0042530A" w:rsidRPr="00C87891">
        <w:rPr>
          <w:lang w:val="en-US"/>
        </w:rPr>
        <w:t xml:space="preserve"> flows between two TSOs/LFC </w:t>
      </w:r>
      <w:r w:rsidR="008151B4" w:rsidRPr="00C87891">
        <w:rPr>
          <w:lang w:val="en-US"/>
        </w:rPr>
        <w:t>Areas</w:t>
      </w:r>
      <w:r w:rsidR="0042530A" w:rsidRPr="00C87891">
        <w:rPr>
          <w:lang w:val="en-US"/>
        </w:rPr>
        <w:t xml:space="preserve">/LFC </w:t>
      </w:r>
      <w:r w:rsidR="008151B4" w:rsidRPr="00C87891">
        <w:rPr>
          <w:lang w:val="en-US"/>
        </w:rPr>
        <w:t>Blocks</w:t>
      </w:r>
      <w:r w:rsidR="0042530A" w:rsidRPr="00C87891">
        <w:rPr>
          <w:lang w:val="en-US"/>
        </w:rPr>
        <w:t>/</w:t>
      </w:r>
      <w:r w:rsidR="002E2691">
        <w:rPr>
          <w:lang w:val="en-US"/>
        </w:rPr>
        <w:t>Coordination</w:t>
      </w:r>
      <w:r w:rsidR="008D666C">
        <w:rPr>
          <w:lang w:val="en-US"/>
        </w:rPr>
        <w:t xml:space="preserve"> C</w:t>
      </w:r>
      <w:r w:rsidR="008D0660">
        <w:rPr>
          <w:lang w:val="en-US"/>
        </w:rPr>
        <w:t>entre</w:t>
      </w:r>
      <w:r w:rsidR="0042530A" w:rsidRPr="00C87891">
        <w:rPr>
          <w:lang w:val="en-US"/>
        </w:rPr>
        <w:t>s</w:t>
      </w:r>
    </w:p>
    <w:p w14:paraId="66FBE46D" w14:textId="02999B76" w:rsidR="0042530A" w:rsidRPr="00C87891" w:rsidRDefault="0042530A" w:rsidP="0042530A">
      <w:pPr>
        <w:pStyle w:val="NoSpacing"/>
        <w:rPr>
          <w:lang w:val="en-US"/>
        </w:rPr>
      </w:pPr>
    </w:p>
    <w:p w14:paraId="687729B9" w14:textId="65A722B1" w:rsidR="0042530A" w:rsidRPr="00C87891" w:rsidRDefault="00D26D46" w:rsidP="0042530A">
      <w:pPr>
        <w:pStyle w:val="NoSpacing"/>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VTL</m:t>
            </m:r>
          </m:sub>
        </m:sSub>
      </m:oMath>
      <w:r w:rsidR="0042530A" w:rsidRPr="00C87891">
        <w:rPr>
          <w:lang w:val="en-US"/>
        </w:rPr>
        <w:tab/>
      </w:r>
      <w:r w:rsidR="0042530A" w:rsidRPr="00C87891">
        <w:rPr>
          <w:lang w:val="en-US"/>
        </w:rPr>
        <w:tab/>
      </w:r>
      <w:r w:rsidR="00A50180">
        <w:rPr>
          <w:lang w:val="en-US"/>
        </w:rPr>
        <w:t>I</w:t>
      </w:r>
      <w:r w:rsidR="0042530A" w:rsidRPr="00C87891">
        <w:rPr>
          <w:lang w:val="en-US"/>
        </w:rPr>
        <w:t>ntended cross-border exchanges through VTL</w:t>
      </w:r>
    </w:p>
    <w:p w14:paraId="3E888F46" w14:textId="2B0445F2" w:rsidR="0042530A" w:rsidRPr="00C87891" w:rsidRDefault="0042530A" w:rsidP="0042530A">
      <w:pPr>
        <w:pStyle w:val="NoSpacing"/>
        <w:rPr>
          <w:lang w:val="en-US"/>
        </w:rPr>
      </w:pPr>
    </w:p>
    <w:p w14:paraId="17ED4DF1" w14:textId="57EAC155" w:rsidR="0042530A" w:rsidRPr="00C87891" w:rsidRDefault="00D26D46" w:rsidP="0042530A">
      <w:pPr>
        <w:pStyle w:val="NoSpacing"/>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sch</m:t>
            </m:r>
          </m:sub>
        </m:sSub>
      </m:oMath>
      <w:r w:rsidR="0042530A" w:rsidRPr="00C87891">
        <w:rPr>
          <w:lang w:val="en-US"/>
        </w:rPr>
        <w:t xml:space="preserve"> </w:t>
      </w:r>
      <w:r w:rsidR="0042530A" w:rsidRPr="00C87891">
        <w:rPr>
          <w:lang w:val="en-US"/>
        </w:rPr>
        <w:tab/>
      </w:r>
      <w:r w:rsidR="0042530A" w:rsidRPr="00C87891">
        <w:rPr>
          <w:lang w:val="en-US"/>
        </w:rPr>
        <w:tab/>
      </w:r>
      <w:r w:rsidR="00A50180">
        <w:rPr>
          <w:lang w:val="en-US"/>
        </w:rPr>
        <w:t>C</w:t>
      </w:r>
      <w:r w:rsidR="0042530A" w:rsidRPr="00C87891">
        <w:rPr>
          <w:lang w:val="en-US"/>
        </w:rPr>
        <w:t>ross-border energy exchange through ANES</w:t>
      </w:r>
    </w:p>
    <w:p w14:paraId="05D3E468" w14:textId="1F04A1C2" w:rsidR="0042530A" w:rsidRPr="00C87891" w:rsidRDefault="0042530A" w:rsidP="0042530A">
      <w:pPr>
        <w:pStyle w:val="NoSpacing"/>
        <w:rPr>
          <w:lang w:val="en-US"/>
        </w:rPr>
      </w:pPr>
    </w:p>
    <w:p w14:paraId="2CEE12B2" w14:textId="52CB793D" w:rsidR="0042530A" w:rsidRPr="002C70EF" w:rsidRDefault="00D26D46" w:rsidP="0042530A">
      <w:pPr>
        <w:pStyle w:val="NoSpacing"/>
        <w:ind w:left="1418" w:hanging="1418"/>
        <w:rPr>
          <w:lang w:val="nl-NL"/>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FCP</m:t>
            </m:r>
          </m:sub>
        </m:sSub>
      </m:oMath>
      <w:r w:rsidR="0042530A" w:rsidRPr="002C70EF">
        <w:rPr>
          <w:lang w:val="nl-NL"/>
        </w:rPr>
        <w:tab/>
      </w:r>
      <w:r w:rsidR="002942F3" w:rsidRPr="002C70EF">
        <w:rPr>
          <w:lang w:val="nl-NL"/>
        </w:rPr>
        <w:t>FCP Energy</w:t>
      </w:r>
    </w:p>
    <w:p w14:paraId="444FF0E2" w14:textId="79CA8B36" w:rsidR="002942F3" w:rsidRPr="002C70EF" w:rsidRDefault="002942F3" w:rsidP="0042530A">
      <w:pPr>
        <w:pStyle w:val="NoSpacing"/>
        <w:ind w:left="1418" w:hanging="1418"/>
        <w:rPr>
          <w:lang w:val="nl-NL"/>
        </w:rPr>
      </w:pPr>
    </w:p>
    <w:p w14:paraId="49D8ED1C" w14:textId="77777777" w:rsidR="002942F3" w:rsidRPr="002C70EF" w:rsidRDefault="00D26D46" w:rsidP="0042530A">
      <w:pPr>
        <w:pStyle w:val="NoSpacing"/>
        <w:ind w:left="1418" w:hanging="1418"/>
        <w:rPr>
          <w:lang w:val="nl-NL"/>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RP</m:t>
            </m:r>
          </m:sub>
        </m:sSub>
      </m:oMath>
      <w:r w:rsidR="002942F3" w:rsidRPr="002C70EF">
        <w:rPr>
          <w:lang w:val="nl-NL"/>
        </w:rPr>
        <w:tab/>
        <w:t>RP Energy</w:t>
      </w:r>
    </w:p>
    <w:p w14:paraId="220D314D" w14:textId="79D8ED76" w:rsidR="002942F3" w:rsidRPr="002C70EF" w:rsidRDefault="002942F3" w:rsidP="0042530A">
      <w:pPr>
        <w:pStyle w:val="NoSpacing"/>
        <w:ind w:left="1418" w:hanging="1418"/>
        <w:rPr>
          <w:lang w:val="nl-NL"/>
        </w:rPr>
      </w:pPr>
    </w:p>
    <w:p w14:paraId="6F29208D" w14:textId="77777777" w:rsidR="002942F3" w:rsidRPr="00C87891" w:rsidRDefault="00D26D46" w:rsidP="0042530A">
      <w:pPr>
        <w:pStyle w:val="NoSpacing"/>
        <w:ind w:left="1418" w:hanging="1418"/>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UE</m:t>
            </m:r>
          </m:sub>
        </m:sSub>
      </m:oMath>
      <w:r w:rsidR="002942F3" w:rsidRPr="00C87891">
        <w:rPr>
          <w:lang w:val="en-US"/>
        </w:rPr>
        <w:tab/>
      </w:r>
      <w:r w:rsidR="002942F3">
        <w:rPr>
          <w:lang w:val="en-US"/>
        </w:rPr>
        <w:t>Unintended exchange</w:t>
      </w:r>
    </w:p>
    <w:p w14:paraId="17D2A94D" w14:textId="3A767253" w:rsidR="0042530A" w:rsidRPr="00C87891" w:rsidRDefault="0042530A" w:rsidP="0042530A">
      <w:pPr>
        <w:pStyle w:val="NoSpacing"/>
        <w:rPr>
          <w:lang w:val="en-US"/>
        </w:rPr>
      </w:pPr>
    </w:p>
    <w:p w14:paraId="5F5E38FF" w14:textId="0AAB8584" w:rsidR="009269CB" w:rsidRDefault="0042530A" w:rsidP="0042530A">
      <w:pPr>
        <w:pStyle w:val="NoSpacing"/>
        <w:rPr>
          <w:lang w:val="en-US"/>
        </w:rPr>
      </w:pPr>
      <m:oMath>
        <m:r>
          <w:rPr>
            <w:rFonts w:ascii="Cambria Math" w:hAnsi="Cambria Math"/>
            <w:lang w:val="en-US"/>
          </w:rPr>
          <m:t>∆P</m:t>
        </m:r>
      </m:oMath>
      <w:r w:rsidRPr="00C87891">
        <w:rPr>
          <w:lang w:val="en-US"/>
        </w:rPr>
        <w:tab/>
      </w:r>
      <w:r w:rsidRPr="00C87891">
        <w:rPr>
          <w:lang w:val="en-US"/>
        </w:rPr>
        <w:tab/>
      </w:r>
      <w:r w:rsidR="00A50180">
        <w:rPr>
          <w:lang w:val="en-US"/>
        </w:rPr>
        <w:t>P</w:t>
      </w:r>
      <w:r w:rsidRPr="00C87891">
        <w:rPr>
          <w:lang w:val="en-US"/>
        </w:rPr>
        <w:t>ower control error. Defined in SOGL</w:t>
      </w:r>
      <w:r w:rsidR="0061403F">
        <w:rPr>
          <w:lang w:val="en-US"/>
        </w:rPr>
        <w:t>.</w:t>
      </w:r>
    </w:p>
    <w:p w14:paraId="3E48E5EF" w14:textId="3C76B96F" w:rsidR="006A1235" w:rsidRDefault="006A1235" w:rsidP="0042530A">
      <w:pPr>
        <w:pStyle w:val="NoSpacing"/>
        <w:rPr>
          <w:lang w:val="en-US"/>
        </w:rPr>
      </w:pPr>
    </w:p>
    <w:p w14:paraId="31B4BD74" w14:textId="474480A4" w:rsidR="006A1235" w:rsidRPr="00C87891" w:rsidRDefault="00D26D46" w:rsidP="0042530A">
      <w:pPr>
        <w:pStyle w:val="NoSpacing"/>
        <w:rPr>
          <w:lang w:val="en-US"/>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LFC Area</m:t>
            </m:r>
          </m:sub>
        </m:sSub>
      </m:oMath>
      <w:r w:rsidR="006A1235">
        <w:rPr>
          <w:lang w:val="en-US"/>
        </w:rPr>
        <w:t xml:space="preserve"> </w:t>
      </w:r>
      <w:r w:rsidR="006A1235">
        <w:rPr>
          <w:lang w:val="en-US"/>
        </w:rPr>
        <w:tab/>
        <w:t>K-factor of the LFC area</w:t>
      </w:r>
    </w:p>
    <w:p w14:paraId="08E1F1F9" w14:textId="77777777" w:rsidR="00AA679C" w:rsidRPr="000E6581" w:rsidRDefault="00AA679C" w:rsidP="002C2863">
      <w:pPr>
        <w:pStyle w:val="NoSpacing"/>
      </w:pPr>
    </w:p>
    <w:p w14:paraId="7830056A" w14:textId="46A7D63B" w:rsidR="00D706B4" w:rsidRDefault="003B64D5" w:rsidP="00F7398B">
      <w:pPr>
        <w:pStyle w:val="Heading3"/>
      </w:pPr>
      <w:bookmarkStart w:id="157" w:name="_Ref62107543"/>
      <w:bookmarkStart w:id="158" w:name="_Ref62107897"/>
      <w:bookmarkStart w:id="159" w:name="_Toc107495753"/>
      <w:r w:rsidRPr="00C87891">
        <w:t>Timetables for daily accounting and settlement process</w:t>
      </w:r>
      <w:bookmarkStart w:id="160" w:name="_Ref55910097"/>
      <w:bookmarkStart w:id="161" w:name="_Ref512261332"/>
      <w:bookmarkEnd w:id="157"/>
      <w:bookmarkEnd w:id="158"/>
      <w:bookmarkEnd w:id="159"/>
    </w:p>
    <w:tbl>
      <w:tblPr>
        <w:tblW w:w="8880" w:type="dxa"/>
        <w:tblCellMar>
          <w:left w:w="70" w:type="dxa"/>
          <w:right w:w="70" w:type="dxa"/>
        </w:tblCellMar>
        <w:tblLook w:val="04A0" w:firstRow="1" w:lastRow="0" w:firstColumn="1" w:lastColumn="0" w:noHBand="0" w:noVBand="1"/>
      </w:tblPr>
      <w:tblGrid>
        <w:gridCol w:w="4080"/>
        <w:gridCol w:w="1200"/>
        <w:gridCol w:w="1200"/>
        <w:gridCol w:w="1200"/>
        <w:gridCol w:w="1200"/>
      </w:tblGrid>
      <w:tr w:rsidR="00D706B4" w:rsidRPr="00D706B4" w14:paraId="61D98AF9" w14:textId="77777777" w:rsidTr="00263072">
        <w:tc>
          <w:tcPr>
            <w:tcW w:w="4080" w:type="dxa"/>
            <w:tcBorders>
              <w:top w:val="nil"/>
              <w:left w:val="nil"/>
              <w:bottom w:val="nil"/>
              <w:right w:val="nil"/>
            </w:tcBorders>
            <w:shd w:val="clear" w:color="auto" w:fill="auto"/>
            <w:hideMark/>
          </w:tcPr>
          <w:bookmarkEnd w:id="160"/>
          <w:p w14:paraId="654CBB2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Note: the following timing (if not expressed different) is valid for the next workday</w:t>
            </w:r>
          </w:p>
        </w:tc>
        <w:tc>
          <w:tcPr>
            <w:tcW w:w="1200" w:type="dxa"/>
            <w:tcBorders>
              <w:top w:val="nil"/>
              <w:left w:val="nil"/>
              <w:bottom w:val="nil"/>
              <w:right w:val="nil"/>
            </w:tcBorders>
            <w:shd w:val="clear" w:color="auto" w:fill="auto"/>
            <w:noWrap/>
            <w:hideMark/>
          </w:tcPr>
          <w:p w14:paraId="4BB3B223"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nil"/>
            </w:tcBorders>
            <w:shd w:val="clear" w:color="auto" w:fill="auto"/>
            <w:noWrap/>
            <w:hideMark/>
          </w:tcPr>
          <w:p w14:paraId="47C5B7B0"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0724C604"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28CD2A39"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r>
      <w:tr w:rsidR="00D706B4" w:rsidRPr="00D706B4" w14:paraId="3D9A2348" w14:textId="77777777" w:rsidTr="00263072">
        <w:tc>
          <w:tcPr>
            <w:tcW w:w="4080" w:type="dxa"/>
            <w:tcBorders>
              <w:top w:val="nil"/>
              <w:left w:val="nil"/>
              <w:bottom w:val="nil"/>
              <w:right w:val="nil"/>
            </w:tcBorders>
            <w:shd w:val="clear" w:color="auto" w:fill="auto"/>
            <w:noWrap/>
            <w:hideMark/>
          </w:tcPr>
          <w:p w14:paraId="71B54A1F"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52E97508"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613B91CA"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4554E313"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649830EF"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r>
      <w:tr w:rsidR="00715EBE" w:rsidRPr="00D706B4" w14:paraId="022E149E" w14:textId="77777777" w:rsidTr="000E6581">
        <w:tc>
          <w:tcPr>
            <w:tcW w:w="4080" w:type="dxa"/>
            <w:tcBorders>
              <w:top w:val="single" w:sz="8" w:space="0" w:color="auto"/>
              <w:left w:val="single" w:sz="8" w:space="0" w:color="auto"/>
              <w:bottom w:val="nil"/>
              <w:right w:val="nil"/>
            </w:tcBorders>
            <w:shd w:val="clear" w:color="auto" w:fill="auto"/>
            <w:noWrap/>
            <w:hideMark/>
          </w:tcPr>
          <w:p w14:paraId="5D484E8E" w14:textId="77777777" w:rsidR="00D706B4" w:rsidRPr="00632FF6" w:rsidRDefault="00D706B4" w:rsidP="00D706B4">
            <w:pPr>
              <w:spacing w:after="0" w:line="240" w:lineRule="auto"/>
              <w:jc w:val="left"/>
              <w:rPr>
                <w:rFonts w:ascii="Arial" w:eastAsia="Times New Roman" w:hAnsi="Arial" w:cs="Arial"/>
                <w:b/>
                <w:bCs/>
                <w:color w:val="000000"/>
                <w:sz w:val="18"/>
                <w:szCs w:val="18"/>
                <w:lang w:eastAsia="de-DE"/>
              </w:rPr>
            </w:pPr>
            <w:r w:rsidRPr="00632FF6">
              <w:rPr>
                <w:rFonts w:ascii="Arial" w:eastAsia="Times New Roman" w:hAnsi="Arial" w:cs="Arial"/>
                <w:b/>
                <w:bCs/>
                <w:color w:val="000000"/>
                <w:sz w:val="18"/>
                <w:szCs w:val="18"/>
                <w:lang w:eastAsia="de-DE"/>
              </w:rPr>
              <w:t>Timing of daily data delivery exchange</w:t>
            </w:r>
          </w:p>
        </w:tc>
        <w:tc>
          <w:tcPr>
            <w:tcW w:w="1200" w:type="dxa"/>
            <w:tcBorders>
              <w:top w:val="single" w:sz="8" w:space="0" w:color="auto"/>
              <w:left w:val="single" w:sz="4" w:space="0" w:color="auto"/>
              <w:bottom w:val="nil"/>
              <w:right w:val="nil"/>
            </w:tcBorders>
            <w:shd w:val="clear" w:color="auto" w:fill="auto"/>
            <w:noWrap/>
            <w:hideMark/>
          </w:tcPr>
          <w:p w14:paraId="39FA8FC7"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single" w:sz="8" w:space="0" w:color="auto"/>
              <w:left w:val="nil"/>
              <w:bottom w:val="nil"/>
              <w:right w:val="single" w:sz="4" w:space="0" w:color="auto"/>
            </w:tcBorders>
            <w:shd w:val="clear" w:color="auto" w:fill="auto"/>
            <w:noWrap/>
            <w:hideMark/>
          </w:tcPr>
          <w:p w14:paraId="5C6A983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single" w:sz="8" w:space="0" w:color="auto"/>
              <w:left w:val="nil"/>
              <w:bottom w:val="nil"/>
              <w:right w:val="nil"/>
            </w:tcBorders>
            <w:shd w:val="clear" w:color="auto" w:fill="auto"/>
            <w:noWrap/>
            <w:hideMark/>
          </w:tcPr>
          <w:p w14:paraId="005F38E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single" w:sz="8" w:space="0" w:color="auto"/>
              <w:left w:val="nil"/>
              <w:bottom w:val="nil"/>
              <w:right w:val="single" w:sz="8" w:space="0" w:color="auto"/>
            </w:tcBorders>
            <w:shd w:val="clear" w:color="auto" w:fill="auto"/>
            <w:noWrap/>
            <w:hideMark/>
          </w:tcPr>
          <w:p w14:paraId="60178AA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r>
      <w:tr w:rsidR="00AD04F9" w:rsidRPr="00D706B4" w14:paraId="5BD7337F" w14:textId="77777777" w:rsidTr="00263072">
        <w:tc>
          <w:tcPr>
            <w:tcW w:w="4080" w:type="dxa"/>
            <w:tcBorders>
              <w:top w:val="nil"/>
              <w:left w:val="single" w:sz="8" w:space="0" w:color="auto"/>
              <w:bottom w:val="nil"/>
              <w:right w:val="nil"/>
            </w:tcBorders>
            <w:shd w:val="clear" w:color="auto" w:fill="auto"/>
            <w:noWrap/>
            <w:hideMark/>
          </w:tcPr>
          <w:p w14:paraId="3CD98FE5"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2400" w:type="dxa"/>
            <w:gridSpan w:val="2"/>
            <w:tcBorders>
              <w:top w:val="nil"/>
              <w:left w:val="single" w:sz="4" w:space="0" w:color="auto"/>
              <w:bottom w:val="nil"/>
              <w:right w:val="single" w:sz="4" w:space="0" w:color="000000"/>
            </w:tcBorders>
            <w:shd w:val="clear" w:color="auto" w:fill="auto"/>
            <w:noWrap/>
            <w:hideMark/>
          </w:tcPr>
          <w:p w14:paraId="01721B44"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data only for one day</w:t>
            </w:r>
          </w:p>
        </w:tc>
        <w:tc>
          <w:tcPr>
            <w:tcW w:w="2400" w:type="dxa"/>
            <w:gridSpan w:val="2"/>
            <w:tcBorders>
              <w:top w:val="nil"/>
              <w:left w:val="nil"/>
              <w:bottom w:val="nil"/>
              <w:right w:val="single" w:sz="8" w:space="0" w:color="000000"/>
            </w:tcBorders>
            <w:shd w:val="clear" w:color="auto" w:fill="auto"/>
            <w:hideMark/>
          </w:tcPr>
          <w:p w14:paraId="118CA65F"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xml:space="preserve">Data for more than one Day </w:t>
            </w:r>
          </w:p>
        </w:tc>
      </w:tr>
      <w:tr w:rsidR="00D706B4" w:rsidRPr="00D706B4" w14:paraId="73FA885D" w14:textId="77777777" w:rsidTr="00263072">
        <w:tc>
          <w:tcPr>
            <w:tcW w:w="4080" w:type="dxa"/>
            <w:tcBorders>
              <w:top w:val="nil"/>
              <w:left w:val="single" w:sz="8" w:space="0" w:color="auto"/>
              <w:bottom w:val="nil"/>
              <w:right w:val="nil"/>
            </w:tcBorders>
            <w:shd w:val="clear" w:color="auto" w:fill="auto"/>
            <w:noWrap/>
            <w:hideMark/>
          </w:tcPr>
          <w:p w14:paraId="69DF823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single" w:sz="4" w:space="0" w:color="auto"/>
              <w:bottom w:val="nil"/>
              <w:right w:val="nil"/>
            </w:tcBorders>
            <w:shd w:val="clear" w:color="auto" w:fill="auto"/>
            <w:noWrap/>
            <w:hideMark/>
          </w:tcPr>
          <w:p w14:paraId="3E9254F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0ED14B7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2400" w:type="dxa"/>
            <w:gridSpan w:val="2"/>
            <w:tcBorders>
              <w:top w:val="nil"/>
              <w:left w:val="nil"/>
              <w:bottom w:val="nil"/>
              <w:right w:val="single" w:sz="8" w:space="0" w:color="000000"/>
            </w:tcBorders>
            <w:shd w:val="clear" w:color="auto" w:fill="auto"/>
            <w:hideMark/>
          </w:tcPr>
          <w:p w14:paraId="0E47CFC6"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(e.g. after weekend, holidays etc.)</w:t>
            </w:r>
          </w:p>
        </w:tc>
      </w:tr>
      <w:tr w:rsidR="00715EBE" w:rsidRPr="00D706B4" w14:paraId="0AFDF9CD" w14:textId="77777777" w:rsidTr="000E6581">
        <w:tc>
          <w:tcPr>
            <w:tcW w:w="4080" w:type="dxa"/>
            <w:tcBorders>
              <w:top w:val="nil"/>
              <w:left w:val="single" w:sz="8" w:space="0" w:color="auto"/>
              <w:bottom w:val="single" w:sz="8" w:space="0" w:color="auto"/>
              <w:right w:val="nil"/>
            </w:tcBorders>
            <w:shd w:val="clear" w:color="auto" w:fill="auto"/>
            <w:hideMark/>
          </w:tcPr>
          <w:p w14:paraId="6D4E42C8"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Action</w:t>
            </w:r>
          </w:p>
        </w:tc>
        <w:tc>
          <w:tcPr>
            <w:tcW w:w="1200" w:type="dxa"/>
            <w:tcBorders>
              <w:top w:val="nil"/>
              <w:left w:val="single" w:sz="4" w:space="0" w:color="auto"/>
              <w:bottom w:val="single" w:sz="8" w:space="0" w:color="auto"/>
              <w:right w:val="nil"/>
            </w:tcBorders>
            <w:shd w:val="clear" w:color="auto" w:fill="auto"/>
            <w:hideMark/>
          </w:tcPr>
          <w:p w14:paraId="6E64DB2E"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Gate closure</w:t>
            </w:r>
          </w:p>
        </w:tc>
        <w:tc>
          <w:tcPr>
            <w:tcW w:w="1200" w:type="dxa"/>
            <w:tcBorders>
              <w:top w:val="nil"/>
              <w:left w:val="nil"/>
              <w:bottom w:val="single" w:sz="8" w:space="0" w:color="auto"/>
              <w:right w:val="single" w:sz="4" w:space="0" w:color="auto"/>
            </w:tcBorders>
            <w:shd w:val="clear" w:color="auto" w:fill="auto"/>
            <w:hideMark/>
          </w:tcPr>
          <w:p w14:paraId="2E395C8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Cut Off time (Agreement deatline)</w:t>
            </w:r>
          </w:p>
        </w:tc>
        <w:tc>
          <w:tcPr>
            <w:tcW w:w="1200" w:type="dxa"/>
            <w:tcBorders>
              <w:top w:val="nil"/>
              <w:left w:val="nil"/>
              <w:bottom w:val="single" w:sz="8" w:space="0" w:color="auto"/>
              <w:right w:val="nil"/>
            </w:tcBorders>
            <w:shd w:val="clear" w:color="auto" w:fill="auto"/>
            <w:hideMark/>
          </w:tcPr>
          <w:p w14:paraId="699FD21A"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Gate closure</w:t>
            </w:r>
          </w:p>
        </w:tc>
        <w:tc>
          <w:tcPr>
            <w:tcW w:w="1200" w:type="dxa"/>
            <w:tcBorders>
              <w:top w:val="nil"/>
              <w:left w:val="nil"/>
              <w:bottom w:val="single" w:sz="8" w:space="0" w:color="auto"/>
              <w:right w:val="single" w:sz="8" w:space="0" w:color="auto"/>
            </w:tcBorders>
            <w:shd w:val="clear" w:color="auto" w:fill="auto"/>
            <w:hideMark/>
          </w:tcPr>
          <w:p w14:paraId="334C2396"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Cut Off time (Agreement deatline)</w:t>
            </w:r>
          </w:p>
        </w:tc>
      </w:tr>
      <w:tr w:rsidR="00715EBE" w:rsidRPr="00D706B4" w14:paraId="46088F67" w14:textId="77777777" w:rsidTr="000E6581">
        <w:tc>
          <w:tcPr>
            <w:tcW w:w="4080" w:type="dxa"/>
            <w:tcBorders>
              <w:top w:val="nil"/>
              <w:left w:val="single" w:sz="8" w:space="0" w:color="auto"/>
              <w:bottom w:val="nil"/>
              <w:right w:val="nil"/>
            </w:tcBorders>
            <w:shd w:val="clear" w:color="auto" w:fill="auto"/>
            <w:hideMark/>
          </w:tcPr>
          <w:p w14:paraId="4C64EBD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Meter data delivery (SOMA) to neighbouring TSO</w:t>
            </w:r>
          </w:p>
        </w:tc>
        <w:tc>
          <w:tcPr>
            <w:tcW w:w="1200" w:type="dxa"/>
            <w:tcBorders>
              <w:top w:val="nil"/>
              <w:left w:val="single" w:sz="4" w:space="0" w:color="auto"/>
              <w:bottom w:val="nil"/>
              <w:right w:val="nil"/>
            </w:tcBorders>
            <w:shd w:val="clear" w:color="auto" w:fill="auto"/>
            <w:noWrap/>
            <w:hideMark/>
          </w:tcPr>
          <w:p w14:paraId="56B76932"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10:00 AM</w:t>
            </w:r>
          </w:p>
        </w:tc>
        <w:tc>
          <w:tcPr>
            <w:tcW w:w="1200" w:type="dxa"/>
            <w:tcBorders>
              <w:top w:val="nil"/>
              <w:left w:val="nil"/>
              <w:bottom w:val="nil"/>
              <w:right w:val="single" w:sz="4" w:space="0" w:color="auto"/>
            </w:tcBorders>
            <w:shd w:val="clear" w:color="auto" w:fill="auto"/>
            <w:noWrap/>
            <w:hideMark/>
          </w:tcPr>
          <w:p w14:paraId="554B8CD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 PM</w:t>
            </w:r>
          </w:p>
        </w:tc>
        <w:tc>
          <w:tcPr>
            <w:tcW w:w="1200" w:type="dxa"/>
            <w:tcBorders>
              <w:top w:val="nil"/>
              <w:left w:val="nil"/>
              <w:bottom w:val="nil"/>
              <w:right w:val="nil"/>
            </w:tcBorders>
            <w:shd w:val="clear" w:color="auto" w:fill="auto"/>
            <w:noWrap/>
            <w:hideMark/>
          </w:tcPr>
          <w:p w14:paraId="4E65E5BF"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10:00 AM</w:t>
            </w:r>
          </w:p>
        </w:tc>
        <w:tc>
          <w:tcPr>
            <w:tcW w:w="1200" w:type="dxa"/>
            <w:tcBorders>
              <w:top w:val="nil"/>
              <w:left w:val="nil"/>
              <w:bottom w:val="nil"/>
              <w:right w:val="single" w:sz="8" w:space="0" w:color="auto"/>
            </w:tcBorders>
            <w:shd w:val="clear" w:color="auto" w:fill="auto"/>
            <w:noWrap/>
            <w:hideMark/>
          </w:tcPr>
          <w:p w14:paraId="362BB697"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 PM</w:t>
            </w:r>
          </w:p>
        </w:tc>
      </w:tr>
      <w:tr w:rsidR="00715EBE" w:rsidRPr="00D706B4" w14:paraId="0D277E7B" w14:textId="77777777" w:rsidTr="000E6581">
        <w:tc>
          <w:tcPr>
            <w:tcW w:w="4080" w:type="dxa"/>
            <w:tcBorders>
              <w:top w:val="nil"/>
              <w:left w:val="single" w:sz="8" w:space="0" w:color="auto"/>
              <w:bottom w:val="nil"/>
              <w:right w:val="nil"/>
            </w:tcBorders>
            <w:shd w:val="clear" w:color="auto" w:fill="auto"/>
            <w:hideMark/>
          </w:tcPr>
          <w:p w14:paraId="5172465F" w14:textId="5FBF4064"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xml:space="preserve">Delivery of ANES from VP to </w:t>
            </w:r>
            <w:r w:rsidR="002E2691">
              <w:rPr>
                <w:rFonts w:ascii="Arial" w:eastAsia="Times New Roman" w:hAnsi="Arial" w:cs="Arial"/>
                <w:color w:val="000000"/>
                <w:sz w:val="18"/>
                <w:szCs w:val="18"/>
                <w:lang w:eastAsia="de-DE"/>
              </w:rPr>
              <w:t>Coordination</w:t>
            </w:r>
            <w:r w:rsidRPr="00632FF6">
              <w:rPr>
                <w:rFonts w:ascii="Arial" w:eastAsia="Times New Roman" w:hAnsi="Arial" w:cs="Arial"/>
                <w:color w:val="000000"/>
                <w:sz w:val="18"/>
                <w:szCs w:val="18"/>
                <w:lang w:eastAsia="de-DE"/>
              </w:rPr>
              <w:t xml:space="preserve"> Centre</w:t>
            </w:r>
          </w:p>
        </w:tc>
        <w:tc>
          <w:tcPr>
            <w:tcW w:w="1200" w:type="dxa"/>
            <w:tcBorders>
              <w:top w:val="nil"/>
              <w:left w:val="single" w:sz="4" w:space="0" w:color="auto"/>
              <w:bottom w:val="nil"/>
              <w:right w:val="nil"/>
            </w:tcBorders>
            <w:shd w:val="clear" w:color="auto" w:fill="auto"/>
            <w:noWrap/>
            <w:hideMark/>
          </w:tcPr>
          <w:p w14:paraId="28029031"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05626DF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12:00 PM</w:t>
            </w:r>
          </w:p>
        </w:tc>
        <w:tc>
          <w:tcPr>
            <w:tcW w:w="1200" w:type="dxa"/>
            <w:tcBorders>
              <w:top w:val="nil"/>
              <w:left w:val="nil"/>
              <w:bottom w:val="nil"/>
              <w:right w:val="nil"/>
            </w:tcBorders>
            <w:shd w:val="clear" w:color="auto" w:fill="auto"/>
            <w:noWrap/>
            <w:hideMark/>
          </w:tcPr>
          <w:p w14:paraId="2C204444"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p>
        </w:tc>
        <w:tc>
          <w:tcPr>
            <w:tcW w:w="1200" w:type="dxa"/>
            <w:tcBorders>
              <w:top w:val="nil"/>
              <w:left w:val="nil"/>
              <w:bottom w:val="nil"/>
              <w:right w:val="single" w:sz="8" w:space="0" w:color="auto"/>
            </w:tcBorders>
            <w:shd w:val="clear" w:color="auto" w:fill="auto"/>
            <w:noWrap/>
            <w:hideMark/>
          </w:tcPr>
          <w:p w14:paraId="6CE7A165"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 </w:t>
            </w:r>
          </w:p>
        </w:tc>
      </w:tr>
      <w:tr w:rsidR="00715EBE" w:rsidRPr="00D706B4" w14:paraId="0ED433A1" w14:textId="77777777" w:rsidTr="000E6581">
        <w:tc>
          <w:tcPr>
            <w:tcW w:w="4080" w:type="dxa"/>
            <w:tcBorders>
              <w:top w:val="nil"/>
              <w:left w:val="single" w:sz="8" w:space="0" w:color="auto"/>
              <w:bottom w:val="nil"/>
              <w:right w:val="nil"/>
            </w:tcBorders>
            <w:shd w:val="clear" w:color="auto" w:fill="auto"/>
            <w:hideMark/>
          </w:tcPr>
          <w:p w14:paraId="3F2BDF9E"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Accounting data delivery (SOAM) to neighbouring TSO</w:t>
            </w:r>
          </w:p>
        </w:tc>
        <w:tc>
          <w:tcPr>
            <w:tcW w:w="1200" w:type="dxa"/>
            <w:tcBorders>
              <w:top w:val="nil"/>
              <w:left w:val="single" w:sz="4" w:space="0" w:color="auto"/>
              <w:bottom w:val="nil"/>
              <w:right w:val="nil"/>
            </w:tcBorders>
            <w:shd w:val="clear" w:color="auto" w:fill="auto"/>
            <w:noWrap/>
            <w:hideMark/>
          </w:tcPr>
          <w:p w14:paraId="112E8D5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1:30 PM</w:t>
            </w:r>
          </w:p>
        </w:tc>
        <w:tc>
          <w:tcPr>
            <w:tcW w:w="1200" w:type="dxa"/>
            <w:tcBorders>
              <w:top w:val="nil"/>
              <w:left w:val="nil"/>
              <w:bottom w:val="nil"/>
              <w:right w:val="single" w:sz="4" w:space="0" w:color="auto"/>
            </w:tcBorders>
            <w:shd w:val="clear" w:color="auto" w:fill="auto"/>
            <w:noWrap/>
            <w:hideMark/>
          </w:tcPr>
          <w:p w14:paraId="41EFF288"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2:00 PM</w:t>
            </w:r>
          </w:p>
        </w:tc>
        <w:tc>
          <w:tcPr>
            <w:tcW w:w="1200" w:type="dxa"/>
            <w:tcBorders>
              <w:top w:val="nil"/>
              <w:left w:val="nil"/>
              <w:bottom w:val="nil"/>
              <w:right w:val="nil"/>
            </w:tcBorders>
            <w:shd w:val="clear" w:color="auto" w:fill="auto"/>
            <w:noWrap/>
            <w:hideMark/>
          </w:tcPr>
          <w:p w14:paraId="2D381549"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1:30 PM</w:t>
            </w:r>
          </w:p>
        </w:tc>
        <w:tc>
          <w:tcPr>
            <w:tcW w:w="1200" w:type="dxa"/>
            <w:tcBorders>
              <w:top w:val="nil"/>
              <w:left w:val="nil"/>
              <w:bottom w:val="nil"/>
              <w:right w:val="single" w:sz="8" w:space="0" w:color="auto"/>
            </w:tcBorders>
            <w:shd w:val="clear" w:color="auto" w:fill="auto"/>
            <w:noWrap/>
            <w:hideMark/>
          </w:tcPr>
          <w:p w14:paraId="5B956F1B"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4:00 PM</w:t>
            </w:r>
          </w:p>
        </w:tc>
      </w:tr>
      <w:tr w:rsidR="00715EBE" w:rsidRPr="00D706B4" w14:paraId="12FBC684" w14:textId="77777777" w:rsidTr="000E6581">
        <w:tc>
          <w:tcPr>
            <w:tcW w:w="4080" w:type="dxa"/>
            <w:tcBorders>
              <w:top w:val="nil"/>
              <w:left w:val="single" w:sz="8" w:space="0" w:color="auto"/>
              <w:bottom w:val="nil"/>
              <w:right w:val="nil"/>
            </w:tcBorders>
            <w:shd w:val="clear" w:color="auto" w:fill="auto"/>
            <w:hideMark/>
          </w:tcPr>
          <w:p w14:paraId="7DCD72A3" w14:textId="2FD25FEA"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Delivery of agreed Accounting Data (SOVA) by TSO to LFC Area</w:t>
            </w:r>
            <w:r>
              <w:rPr>
                <w:rFonts w:ascii="Arial" w:eastAsia="Times New Roman" w:hAnsi="Arial" w:cs="Arial"/>
                <w:color w:val="000000"/>
                <w:sz w:val="18"/>
                <w:szCs w:val="18"/>
                <w:lang w:eastAsia="de-DE"/>
              </w:rPr>
              <w:t xml:space="preserve">. </w:t>
            </w:r>
            <w:r w:rsidRPr="00B50A88">
              <w:rPr>
                <w:rFonts w:ascii="Arial" w:eastAsia="Times New Roman" w:hAnsi="Arial" w:cs="Arial"/>
                <w:color w:val="000000"/>
                <w:sz w:val="18"/>
                <w:szCs w:val="18"/>
                <w:lang w:eastAsia="de-DE"/>
              </w:rPr>
              <w:t>Note: if disagreement: available data have to be sent</w:t>
            </w:r>
          </w:p>
        </w:tc>
        <w:tc>
          <w:tcPr>
            <w:tcW w:w="1200" w:type="dxa"/>
            <w:tcBorders>
              <w:top w:val="nil"/>
              <w:left w:val="single" w:sz="4" w:space="0" w:color="auto"/>
              <w:bottom w:val="nil"/>
              <w:right w:val="nil"/>
            </w:tcBorders>
            <w:shd w:val="clear" w:color="auto" w:fill="auto"/>
            <w:noWrap/>
            <w:hideMark/>
          </w:tcPr>
          <w:p w14:paraId="4DB3DE8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086D096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2:00 PM</w:t>
            </w:r>
          </w:p>
        </w:tc>
        <w:tc>
          <w:tcPr>
            <w:tcW w:w="1200" w:type="dxa"/>
            <w:tcBorders>
              <w:top w:val="nil"/>
              <w:left w:val="nil"/>
              <w:bottom w:val="nil"/>
              <w:right w:val="nil"/>
            </w:tcBorders>
            <w:shd w:val="clear" w:color="auto" w:fill="auto"/>
            <w:noWrap/>
            <w:hideMark/>
          </w:tcPr>
          <w:p w14:paraId="5A0EBA3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8" w:space="0" w:color="auto"/>
            </w:tcBorders>
            <w:shd w:val="clear" w:color="auto" w:fill="auto"/>
            <w:noWrap/>
            <w:hideMark/>
          </w:tcPr>
          <w:p w14:paraId="020B9FB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4:00 PM</w:t>
            </w:r>
          </w:p>
        </w:tc>
      </w:tr>
      <w:tr w:rsidR="00715EBE" w:rsidRPr="00D706B4" w14:paraId="0CEC3BEB" w14:textId="77777777" w:rsidTr="000E6581">
        <w:tc>
          <w:tcPr>
            <w:tcW w:w="4080" w:type="dxa"/>
            <w:tcBorders>
              <w:top w:val="nil"/>
              <w:left w:val="single" w:sz="8" w:space="0" w:color="auto"/>
              <w:bottom w:val="nil"/>
              <w:right w:val="nil"/>
            </w:tcBorders>
            <w:shd w:val="clear" w:color="auto" w:fill="auto"/>
            <w:hideMark/>
          </w:tcPr>
          <w:p w14:paraId="57A71252"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Delivery of agreed Accounting Data (SOVA) to LFC Block</w:t>
            </w:r>
          </w:p>
        </w:tc>
        <w:tc>
          <w:tcPr>
            <w:tcW w:w="1200" w:type="dxa"/>
            <w:tcBorders>
              <w:top w:val="nil"/>
              <w:left w:val="single" w:sz="4" w:space="0" w:color="auto"/>
              <w:bottom w:val="nil"/>
              <w:right w:val="nil"/>
            </w:tcBorders>
            <w:shd w:val="clear" w:color="auto" w:fill="auto"/>
            <w:noWrap/>
            <w:hideMark/>
          </w:tcPr>
          <w:p w14:paraId="3F76AFC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4743276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2:00 PM</w:t>
            </w:r>
          </w:p>
        </w:tc>
        <w:tc>
          <w:tcPr>
            <w:tcW w:w="1200" w:type="dxa"/>
            <w:tcBorders>
              <w:top w:val="nil"/>
              <w:left w:val="nil"/>
              <w:bottom w:val="nil"/>
              <w:right w:val="nil"/>
            </w:tcBorders>
            <w:shd w:val="clear" w:color="auto" w:fill="auto"/>
            <w:noWrap/>
            <w:hideMark/>
          </w:tcPr>
          <w:p w14:paraId="764BBC1C"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8" w:space="0" w:color="auto"/>
            </w:tcBorders>
            <w:shd w:val="clear" w:color="auto" w:fill="auto"/>
            <w:noWrap/>
            <w:hideMark/>
          </w:tcPr>
          <w:p w14:paraId="527C7DA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4:00 PM</w:t>
            </w:r>
          </w:p>
        </w:tc>
      </w:tr>
      <w:tr w:rsidR="00715EBE" w:rsidRPr="00D706B4" w14:paraId="259E2A35" w14:textId="77777777" w:rsidTr="000E6581">
        <w:tc>
          <w:tcPr>
            <w:tcW w:w="4080" w:type="dxa"/>
            <w:tcBorders>
              <w:top w:val="nil"/>
              <w:left w:val="single" w:sz="8" w:space="0" w:color="auto"/>
              <w:bottom w:val="nil"/>
              <w:right w:val="nil"/>
            </w:tcBorders>
            <w:shd w:val="clear" w:color="auto" w:fill="auto"/>
            <w:hideMark/>
          </w:tcPr>
          <w:p w14:paraId="5DC36336" w14:textId="4D4C89D0"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Delivery of agree</w:t>
            </w:r>
            <w:r w:rsidR="002C0EAE">
              <w:rPr>
                <w:rFonts w:ascii="Arial" w:eastAsia="Times New Roman" w:hAnsi="Arial" w:cs="Arial"/>
                <w:color w:val="000000"/>
                <w:sz w:val="18"/>
                <w:szCs w:val="18"/>
                <w:lang w:eastAsia="de-DE"/>
              </w:rPr>
              <w:t xml:space="preserve">d Accounting Data (SOVA) to </w:t>
            </w:r>
            <w:r w:rsidR="002E2691">
              <w:rPr>
                <w:rFonts w:ascii="Arial" w:eastAsia="Times New Roman" w:hAnsi="Arial" w:cs="Arial"/>
                <w:color w:val="000000"/>
                <w:sz w:val="18"/>
                <w:szCs w:val="18"/>
                <w:lang w:eastAsia="de-DE"/>
              </w:rPr>
              <w:t>Coordination</w:t>
            </w:r>
            <w:r w:rsidRPr="00632FF6">
              <w:rPr>
                <w:rFonts w:ascii="Arial" w:eastAsia="Times New Roman" w:hAnsi="Arial" w:cs="Arial"/>
                <w:color w:val="000000"/>
                <w:sz w:val="18"/>
                <w:szCs w:val="18"/>
                <w:lang w:eastAsia="de-DE"/>
              </w:rPr>
              <w:t xml:space="preserve"> Centre</w:t>
            </w:r>
          </w:p>
        </w:tc>
        <w:tc>
          <w:tcPr>
            <w:tcW w:w="1200" w:type="dxa"/>
            <w:tcBorders>
              <w:top w:val="nil"/>
              <w:left w:val="single" w:sz="4" w:space="0" w:color="auto"/>
              <w:bottom w:val="nil"/>
              <w:right w:val="nil"/>
            </w:tcBorders>
            <w:shd w:val="clear" w:color="auto" w:fill="auto"/>
            <w:noWrap/>
            <w:hideMark/>
          </w:tcPr>
          <w:p w14:paraId="2BC1FB57"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4BD40196"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2:00 PM</w:t>
            </w:r>
          </w:p>
        </w:tc>
        <w:tc>
          <w:tcPr>
            <w:tcW w:w="1200" w:type="dxa"/>
            <w:tcBorders>
              <w:top w:val="nil"/>
              <w:left w:val="nil"/>
              <w:bottom w:val="nil"/>
              <w:right w:val="nil"/>
            </w:tcBorders>
            <w:shd w:val="clear" w:color="auto" w:fill="auto"/>
            <w:noWrap/>
            <w:hideMark/>
          </w:tcPr>
          <w:p w14:paraId="1F4DAE3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p>
        </w:tc>
        <w:tc>
          <w:tcPr>
            <w:tcW w:w="1200" w:type="dxa"/>
            <w:tcBorders>
              <w:top w:val="nil"/>
              <w:left w:val="nil"/>
              <w:bottom w:val="nil"/>
              <w:right w:val="single" w:sz="8" w:space="0" w:color="auto"/>
            </w:tcBorders>
            <w:shd w:val="clear" w:color="auto" w:fill="auto"/>
            <w:noWrap/>
            <w:hideMark/>
          </w:tcPr>
          <w:p w14:paraId="022020FD"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4:00 PM</w:t>
            </w:r>
          </w:p>
        </w:tc>
      </w:tr>
      <w:tr w:rsidR="00715EBE" w:rsidRPr="00D706B4" w14:paraId="10B895A8" w14:textId="77777777" w:rsidTr="000E6581">
        <w:tc>
          <w:tcPr>
            <w:tcW w:w="4080" w:type="dxa"/>
            <w:tcBorders>
              <w:top w:val="nil"/>
              <w:left w:val="single" w:sz="8" w:space="0" w:color="auto"/>
              <w:bottom w:val="nil"/>
              <w:right w:val="nil"/>
            </w:tcBorders>
            <w:shd w:val="clear" w:color="auto" w:fill="auto"/>
            <w:hideMark/>
          </w:tcPr>
          <w:p w14:paraId="3FC5F1BF" w14:textId="0C4FD6B1"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xml:space="preserve">Accounting Data delivery to neighbouring </w:t>
            </w:r>
            <w:r w:rsidR="002E2691">
              <w:rPr>
                <w:rFonts w:ascii="Arial" w:eastAsia="Times New Roman" w:hAnsi="Arial" w:cs="Arial"/>
                <w:color w:val="000000"/>
                <w:sz w:val="18"/>
                <w:szCs w:val="18"/>
                <w:lang w:eastAsia="de-DE"/>
              </w:rPr>
              <w:t>Coordination</w:t>
            </w:r>
            <w:r w:rsidRPr="00632FF6">
              <w:rPr>
                <w:rFonts w:ascii="Arial" w:eastAsia="Times New Roman" w:hAnsi="Arial" w:cs="Arial"/>
                <w:color w:val="000000"/>
                <w:sz w:val="18"/>
                <w:szCs w:val="18"/>
                <w:lang w:eastAsia="de-DE"/>
              </w:rPr>
              <w:t xml:space="preserve"> Centre</w:t>
            </w:r>
          </w:p>
        </w:tc>
        <w:tc>
          <w:tcPr>
            <w:tcW w:w="1200" w:type="dxa"/>
            <w:tcBorders>
              <w:top w:val="nil"/>
              <w:left w:val="single" w:sz="4" w:space="0" w:color="auto"/>
              <w:bottom w:val="nil"/>
              <w:right w:val="nil"/>
            </w:tcBorders>
            <w:shd w:val="clear" w:color="auto" w:fill="auto"/>
            <w:noWrap/>
            <w:hideMark/>
          </w:tcPr>
          <w:p w14:paraId="27D8099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25F50AED"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3:15 PM</w:t>
            </w:r>
          </w:p>
        </w:tc>
        <w:tc>
          <w:tcPr>
            <w:tcW w:w="1200" w:type="dxa"/>
            <w:tcBorders>
              <w:top w:val="nil"/>
              <w:left w:val="nil"/>
              <w:bottom w:val="nil"/>
              <w:right w:val="nil"/>
            </w:tcBorders>
            <w:shd w:val="clear" w:color="auto" w:fill="auto"/>
            <w:noWrap/>
            <w:hideMark/>
          </w:tcPr>
          <w:p w14:paraId="44B0DF7E"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 </w:t>
            </w:r>
          </w:p>
        </w:tc>
        <w:tc>
          <w:tcPr>
            <w:tcW w:w="1200" w:type="dxa"/>
            <w:tcBorders>
              <w:top w:val="nil"/>
              <w:left w:val="nil"/>
              <w:bottom w:val="nil"/>
              <w:right w:val="single" w:sz="8" w:space="0" w:color="auto"/>
            </w:tcBorders>
            <w:shd w:val="clear" w:color="auto" w:fill="auto"/>
            <w:noWrap/>
            <w:hideMark/>
          </w:tcPr>
          <w:p w14:paraId="507AC3DB"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5:15 PM</w:t>
            </w:r>
          </w:p>
        </w:tc>
      </w:tr>
      <w:tr w:rsidR="00715EBE" w:rsidRPr="00D706B4" w14:paraId="79502018" w14:textId="77777777" w:rsidTr="000E6581">
        <w:tc>
          <w:tcPr>
            <w:tcW w:w="4080" w:type="dxa"/>
            <w:tcBorders>
              <w:top w:val="nil"/>
              <w:left w:val="single" w:sz="8" w:space="0" w:color="auto"/>
              <w:bottom w:val="nil"/>
              <w:right w:val="nil"/>
            </w:tcBorders>
            <w:shd w:val="clear" w:color="auto" w:fill="auto"/>
          </w:tcPr>
          <w:p w14:paraId="2E16C7D7" w14:textId="6DEC0DE1" w:rsidR="002C0EAE" w:rsidRPr="00D706B4" w:rsidRDefault="002C0EAE" w:rsidP="00D706B4">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Delivery of K-factors to </w:t>
            </w:r>
            <w:r w:rsidR="002E2691">
              <w:rPr>
                <w:rFonts w:ascii="Arial" w:eastAsia="Times New Roman" w:hAnsi="Arial" w:cs="Arial"/>
                <w:color w:val="000000"/>
                <w:sz w:val="18"/>
                <w:szCs w:val="18"/>
                <w:lang w:eastAsia="de-DE"/>
              </w:rPr>
              <w:t>Coordination</w:t>
            </w:r>
            <w:r>
              <w:rPr>
                <w:rFonts w:ascii="Arial" w:eastAsia="Times New Roman" w:hAnsi="Arial" w:cs="Arial"/>
                <w:color w:val="000000"/>
                <w:sz w:val="18"/>
                <w:szCs w:val="18"/>
                <w:lang w:eastAsia="de-DE"/>
              </w:rPr>
              <w:t xml:space="preserve"> Centre</w:t>
            </w:r>
          </w:p>
        </w:tc>
        <w:tc>
          <w:tcPr>
            <w:tcW w:w="1200" w:type="dxa"/>
            <w:tcBorders>
              <w:top w:val="nil"/>
              <w:left w:val="single" w:sz="4" w:space="0" w:color="auto"/>
              <w:bottom w:val="nil"/>
              <w:right w:val="nil"/>
            </w:tcBorders>
            <w:shd w:val="clear" w:color="auto" w:fill="auto"/>
            <w:noWrap/>
          </w:tcPr>
          <w:p w14:paraId="3AFD542E" w14:textId="77777777" w:rsidR="002C0EAE" w:rsidRPr="00D706B4" w:rsidRDefault="002C0EAE"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4" w:space="0" w:color="auto"/>
            </w:tcBorders>
            <w:shd w:val="clear" w:color="auto" w:fill="auto"/>
            <w:noWrap/>
          </w:tcPr>
          <w:p w14:paraId="239330B8" w14:textId="3943819B" w:rsidR="002C0EAE" w:rsidRPr="00632FF6" w:rsidRDefault="002C0EAE" w:rsidP="00D706B4">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c>
          <w:tcPr>
            <w:tcW w:w="1200" w:type="dxa"/>
            <w:tcBorders>
              <w:top w:val="nil"/>
              <w:left w:val="nil"/>
              <w:bottom w:val="nil"/>
              <w:right w:val="nil"/>
            </w:tcBorders>
            <w:shd w:val="clear" w:color="auto" w:fill="auto"/>
            <w:noWrap/>
          </w:tcPr>
          <w:p w14:paraId="60C0CBAC" w14:textId="77777777" w:rsidR="002C0EAE" w:rsidRPr="00632FF6" w:rsidRDefault="002C0EAE"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8" w:space="0" w:color="auto"/>
            </w:tcBorders>
            <w:shd w:val="clear" w:color="auto" w:fill="auto"/>
            <w:noWrap/>
          </w:tcPr>
          <w:p w14:paraId="5F52749A" w14:textId="1F4DFFD1" w:rsidR="002C0EAE" w:rsidRPr="00632FF6" w:rsidRDefault="002C0EAE" w:rsidP="00D706B4">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r>
      <w:tr w:rsidR="00715EBE" w:rsidRPr="00D706B4" w14:paraId="5F0430CF" w14:textId="77777777" w:rsidTr="000E6581">
        <w:tc>
          <w:tcPr>
            <w:tcW w:w="4080" w:type="dxa"/>
            <w:tcBorders>
              <w:top w:val="nil"/>
              <w:left w:val="single" w:sz="8" w:space="0" w:color="auto"/>
              <w:bottom w:val="single" w:sz="8" w:space="0" w:color="auto"/>
              <w:right w:val="nil"/>
            </w:tcBorders>
            <w:shd w:val="clear" w:color="auto" w:fill="auto"/>
          </w:tcPr>
          <w:p w14:paraId="51FA2053" w14:textId="13DD58D1" w:rsidR="002C0EAE" w:rsidRDefault="002C0EAE" w:rsidP="002C0EAE">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Delivery of DAMP to </w:t>
            </w:r>
            <w:r w:rsidR="002E2691">
              <w:rPr>
                <w:rFonts w:ascii="Arial" w:eastAsia="Times New Roman" w:hAnsi="Arial" w:cs="Arial"/>
                <w:color w:val="000000"/>
                <w:sz w:val="18"/>
                <w:szCs w:val="18"/>
                <w:lang w:eastAsia="de-DE"/>
              </w:rPr>
              <w:t>Coordination</w:t>
            </w:r>
            <w:r>
              <w:rPr>
                <w:rFonts w:ascii="Arial" w:eastAsia="Times New Roman" w:hAnsi="Arial" w:cs="Arial"/>
                <w:color w:val="000000"/>
                <w:sz w:val="18"/>
                <w:szCs w:val="18"/>
                <w:lang w:eastAsia="de-DE"/>
              </w:rPr>
              <w:t xml:space="preserve"> Centre</w:t>
            </w:r>
          </w:p>
        </w:tc>
        <w:tc>
          <w:tcPr>
            <w:tcW w:w="1200" w:type="dxa"/>
            <w:tcBorders>
              <w:top w:val="nil"/>
              <w:left w:val="single" w:sz="4" w:space="0" w:color="auto"/>
              <w:bottom w:val="single" w:sz="8" w:space="0" w:color="auto"/>
              <w:right w:val="nil"/>
            </w:tcBorders>
            <w:shd w:val="clear" w:color="auto" w:fill="auto"/>
            <w:noWrap/>
          </w:tcPr>
          <w:p w14:paraId="03B6FFE0" w14:textId="77777777" w:rsidR="002C0EAE" w:rsidRPr="00D706B4" w:rsidRDefault="002C0EAE" w:rsidP="002C0EAE">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single" w:sz="8" w:space="0" w:color="auto"/>
              <w:right w:val="single" w:sz="4" w:space="0" w:color="auto"/>
            </w:tcBorders>
            <w:shd w:val="clear" w:color="auto" w:fill="auto"/>
            <w:noWrap/>
          </w:tcPr>
          <w:p w14:paraId="1E82E12F" w14:textId="42A83DFE" w:rsidR="002C0EAE" w:rsidRDefault="002C0EAE" w:rsidP="002C0EAE">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c>
          <w:tcPr>
            <w:tcW w:w="1200" w:type="dxa"/>
            <w:tcBorders>
              <w:top w:val="nil"/>
              <w:left w:val="nil"/>
              <w:bottom w:val="single" w:sz="8" w:space="0" w:color="auto"/>
              <w:right w:val="nil"/>
            </w:tcBorders>
            <w:shd w:val="clear" w:color="auto" w:fill="auto"/>
            <w:noWrap/>
          </w:tcPr>
          <w:p w14:paraId="1E059361" w14:textId="77777777" w:rsidR="002C0EAE" w:rsidRPr="002C0EAE" w:rsidRDefault="002C0EAE" w:rsidP="002C0EAE">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single" w:sz="8" w:space="0" w:color="auto"/>
              <w:right w:val="single" w:sz="8" w:space="0" w:color="auto"/>
            </w:tcBorders>
            <w:shd w:val="clear" w:color="auto" w:fill="auto"/>
            <w:noWrap/>
          </w:tcPr>
          <w:p w14:paraId="56F3B8C5" w14:textId="48FB0DEB" w:rsidR="002C0EAE" w:rsidRDefault="002C0EAE" w:rsidP="002C0EAE">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r>
    </w:tbl>
    <w:p w14:paraId="3C69A76A" w14:textId="5A6F3ACF" w:rsidR="00AA679C" w:rsidRDefault="00AA679C" w:rsidP="003B64D5">
      <w:pPr>
        <w:pStyle w:val="Caption"/>
      </w:pPr>
    </w:p>
    <w:p w14:paraId="54E603FF" w14:textId="5AFD031E" w:rsidR="003B64D5" w:rsidRPr="00C87891" w:rsidRDefault="003B64D5" w:rsidP="003B64D5">
      <w:pPr>
        <w:pStyle w:val="Caption"/>
      </w:pPr>
      <w:bookmarkStart w:id="162" w:name="_Ref75847512"/>
      <w:bookmarkStart w:id="163" w:name="_Ref54956661"/>
      <w:r w:rsidRPr="00C87891">
        <w:t xml:space="preserve">Table </w:t>
      </w:r>
      <w:r w:rsidRPr="00C87891">
        <w:fldChar w:fldCharType="begin"/>
      </w:r>
      <w:r w:rsidRPr="00C87891">
        <w:instrText xml:space="preserve"> SEQ Table \* ARABIC </w:instrText>
      </w:r>
      <w:r w:rsidRPr="00C87891">
        <w:fldChar w:fldCharType="separate"/>
      </w:r>
      <w:r w:rsidR="00D26D46">
        <w:rPr>
          <w:noProof/>
        </w:rPr>
        <w:t>2</w:t>
      </w:r>
      <w:r w:rsidRPr="00C87891">
        <w:fldChar w:fldCharType="end"/>
      </w:r>
      <w:bookmarkEnd w:id="161"/>
      <w:bookmarkEnd w:id="162"/>
      <w:r w:rsidRPr="00C87891">
        <w:t>: Timetable for daily accounting and settlement process</w:t>
      </w:r>
      <w:bookmarkEnd w:id="163"/>
    </w:p>
    <w:p w14:paraId="1734339E" w14:textId="1A1C6678" w:rsidR="003B64D5" w:rsidRPr="00C87891" w:rsidRDefault="003B64D5" w:rsidP="003B64D5"/>
    <w:p w14:paraId="48ACF00B" w14:textId="77777777" w:rsidR="00832602" w:rsidRPr="00C87891" w:rsidRDefault="00832602" w:rsidP="003B64D5">
      <w:r w:rsidRPr="00C87891">
        <w:rPr>
          <w:noProof/>
          <w:lang w:val="de-DE" w:eastAsia="de-DE"/>
        </w:rPr>
        <w:lastRenderedPageBreak/>
        <w:drawing>
          <wp:inline distT="0" distB="0" distL="0" distR="0" wp14:anchorId="4D546D58" wp14:editId="3AF3A030">
            <wp:extent cx="5760720" cy="322602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26028"/>
                    </a:xfrm>
                    <a:prstGeom prst="rect">
                      <a:avLst/>
                    </a:prstGeom>
                    <a:noFill/>
                    <a:ln>
                      <a:noFill/>
                    </a:ln>
                  </pic:spPr>
                </pic:pic>
              </a:graphicData>
            </a:graphic>
          </wp:inline>
        </w:drawing>
      </w:r>
    </w:p>
    <w:p w14:paraId="5B6CD4F5" w14:textId="04A81C9B" w:rsidR="00A73FC1" w:rsidRDefault="00832602" w:rsidP="00C24891">
      <w:pPr>
        <w:pStyle w:val="Caption"/>
      </w:pPr>
      <w:r w:rsidRPr="00C87891">
        <w:t xml:space="preserve">Figure </w:t>
      </w:r>
      <w:r w:rsidRPr="00263072">
        <w:fldChar w:fldCharType="begin"/>
      </w:r>
      <w:r w:rsidRPr="00C87891">
        <w:instrText xml:space="preserve"> SEQ Figure \* ARABIC </w:instrText>
      </w:r>
      <w:r w:rsidRPr="00263072">
        <w:rPr>
          <w:b w:val="0"/>
          <w:bCs w:val="0"/>
        </w:rPr>
        <w:fldChar w:fldCharType="separate"/>
      </w:r>
      <w:r w:rsidR="00D26D46">
        <w:rPr>
          <w:noProof/>
        </w:rPr>
        <w:t>4</w:t>
      </w:r>
      <w:r w:rsidRPr="00263072">
        <w:fldChar w:fldCharType="end"/>
      </w:r>
      <w:r w:rsidRPr="00C87891">
        <w:t>. Timing of daily Accounting Data exchange</w:t>
      </w:r>
    </w:p>
    <w:p w14:paraId="34FC417F" w14:textId="77777777" w:rsidR="00BE1462" w:rsidRPr="00C87891" w:rsidRDefault="00BE1462" w:rsidP="00F7398B">
      <w:pPr>
        <w:pStyle w:val="Heading3"/>
      </w:pPr>
      <w:bookmarkStart w:id="164" w:name="_Toc54000757"/>
      <w:bookmarkStart w:id="165" w:name="_Toc54000761"/>
      <w:bookmarkStart w:id="166" w:name="_Toc54000762"/>
      <w:bookmarkStart w:id="167" w:name="_Toc54000763"/>
      <w:bookmarkStart w:id="168" w:name="_Toc54000765"/>
      <w:bookmarkStart w:id="169" w:name="_Toc54000766"/>
      <w:bookmarkStart w:id="170" w:name="_Toc54000768"/>
      <w:bookmarkStart w:id="171" w:name="_Toc54000771"/>
      <w:bookmarkStart w:id="172" w:name="_Toc54000772"/>
      <w:bookmarkStart w:id="173" w:name="_Toc54000775"/>
      <w:bookmarkStart w:id="174" w:name="_Toc54000776"/>
      <w:bookmarkStart w:id="175" w:name="_Toc54000780"/>
      <w:bookmarkStart w:id="176" w:name="_Ref523403155"/>
      <w:bookmarkStart w:id="177" w:name="_Toc107495754"/>
      <w:bookmarkEnd w:id="164"/>
      <w:bookmarkEnd w:id="165"/>
      <w:bookmarkEnd w:id="166"/>
      <w:bookmarkEnd w:id="167"/>
      <w:bookmarkEnd w:id="168"/>
      <w:bookmarkEnd w:id="169"/>
      <w:bookmarkEnd w:id="170"/>
      <w:bookmarkEnd w:id="171"/>
      <w:bookmarkEnd w:id="172"/>
      <w:bookmarkEnd w:id="173"/>
      <w:bookmarkEnd w:id="174"/>
      <w:bookmarkEnd w:id="175"/>
      <w:r w:rsidRPr="00C87891">
        <w:lastRenderedPageBreak/>
        <w:t>Registration form for Accounting Process including Tie-Lines</w:t>
      </w:r>
      <w:bookmarkEnd w:id="176"/>
      <w:bookmarkEnd w:id="177"/>
    </w:p>
    <w:p w14:paraId="4C6963B4" w14:textId="3C0E66B1" w:rsidR="00BE1462" w:rsidRDefault="00685D5F" w:rsidP="00BE1462">
      <w:r>
        <w:rPr>
          <w:noProof/>
          <w:lang w:val="de-DE" w:eastAsia="de-DE"/>
        </w:rPr>
        <w:drawing>
          <wp:inline distT="0" distB="0" distL="0" distR="0" wp14:anchorId="56BD7A43" wp14:editId="2235149D">
            <wp:extent cx="4988966" cy="6406848"/>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3901" cy="6413186"/>
                    </a:xfrm>
                    <a:prstGeom prst="rect">
                      <a:avLst/>
                    </a:prstGeom>
                    <a:noFill/>
                    <a:ln>
                      <a:noFill/>
                    </a:ln>
                  </pic:spPr>
                </pic:pic>
              </a:graphicData>
            </a:graphic>
          </wp:inline>
        </w:drawing>
      </w:r>
    </w:p>
    <w:p w14:paraId="0F8675A3" w14:textId="42DF02D8" w:rsidR="00246E74" w:rsidRDefault="00246E74" w:rsidP="00F7398B">
      <w:pPr>
        <w:pStyle w:val="Heading3"/>
      </w:pPr>
      <w:bookmarkStart w:id="178" w:name="_Toc107495755"/>
      <w:r>
        <w:t>List of LFC Blocks performing Accounting and Settlement Process on LFC Block level</w:t>
      </w:r>
      <w:bookmarkEnd w:id="178"/>
    </w:p>
    <w:p w14:paraId="007D032C" w14:textId="62C01B96" w:rsidR="008D0E8C" w:rsidRDefault="000C5EE6" w:rsidP="00246E74">
      <w:r w:rsidRPr="000C5EE6">
        <w:t>The Accounting and Settlement Process is performed on LFC Block level for the LFC Block UAMD (Ukrenergo and Moldelectrica)</w:t>
      </w:r>
      <w:r>
        <w:t>.</w:t>
      </w:r>
    </w:p>
    <w:p w14:paraId="25260390" w14:textId="77777777" w:rsidR="008D0E8C" w:rsidRDefault="008D0E8C">
      <w:pPr>
        <w:jc w:val="left"/>
      </w:pPr>
      <w:r>
        <w:br w:type="page"/>
      </w:r>
    </w:p>
    <w:p w14:paraId="0E2E86D9" w14:textId="77777777" w:rsidR="00246E74" w:rsidRDefault="00246E74" w:rsidP="00246E74"/>
    <w:p w14:paraId="19B446DB" w14:textId="77777777" w:rsidR="004D51F1" w:rsidRPr="00C87891" w:rsidRDefault="004D51F1" w:rsidP="00F7398B">
      <w:pPr>
        <w:pStyle w:val="Heading2"/>
      </w:pPr>
      <w:bookmarkStart w:id="179" w:name="_Toc85043906"/>
      <w:bookmarkStart w:id="180" w:name="_Toc107495756"/>
      <w:r w:rsidRPr="007D336B">
        <w:t>The specific regulations with regard to a withholding tax due in Poland</w:t>
      </w:r>
      <w:bookmarkEnd w:id="179"/>
      <w:bookmarkEnd w:id="180"/>
    </w:p>
    <w:p w14:paraId="340F0252" w14:textId="77777777" w:rsidR="004D51F1" w:rsidRDefault="004D51F1" w:rsidP="004D51F1"/>
    <w:p w14:paraId="1FD265A3" w14:textId="2D833FE7" w:rsidR="004D51F1" w:rsidRDefault="004D51F1" w:rsidP="004D51F1">
      <w:r w:rsidRPr="00B66F78">
        <w:t>1.</w:t>
      </w:r>
      <w:r w:rsidRPr="00B66F78">
        <w:tab/>
        <w:t>Immediately after entering in to force of this Annex , but</w:t>
      </w:r>
      <w:r>
        <w:t xml:space="preserve"> not later than by the 10th calendar day prior to the date of the first remuneration payment and, after that, at least 30 calendar days prior to the end of each</w:t>
      </w:r>
      <w:r w:rsidRPr="00476F04">
        <w:t xml:space="preserve"> year</w:t>
      </w:r>
      <w:r>
        <w:t xml:space="preserve"> the service</w:t>
      </w:r>
      <w:r w:rsidRPr="00476F04">
        <w:t xml:space="preserve"> have been performed </w:t>
      </w:r>
      <w:r>
        <w:t xml:space="preserve">by </w:t>
      </w:r>
      <w:r w:rsidR="002E2691">
        <w:t>Coordination</w:t>
      </w:r>
      <w:r w:rsidR="009E64F6">
        <w:t xml:space="preserve"> </w:t>
      </w:r>
      <w:r>
        <w:t>C</w:t>
      </w:r>
      <w:r w:rsidR="009E64F6">
        <w:t>entre</w:t>
      </w:r>
      <w:r>
        <w:t xml:space="preserve">, the </w:t>
      </w:r>
      <w:r w:rsidR="002E2691">
        <w:t>Coordination</w:t>
      </w:r>
      <w:r w:rsidR="009E64F6">
        <w:t xml:space="preserve"> </w:t>
      </w:r>
      <w:r>
        <w:t>C</w:t>
      </w:r>
      <w:r w:rsidR="009E64F6">
        <w:t>entre</w:t>
      </w:r>
      <w:r>
        <w:t xml:space="preserve"> is obliged to provide PSE with a written statement that it is subject to a taxation on its total income and  that  it is the beneficial owner of payments received from PSE together with information that it conducts actual business activity in the country of its tax residence. The template of such a statement constitutes Appendix 1 to this Annex</w:t>
      </w:r>
      <w:r w:rsidR="00FB2C74">
        <w:t xml:space="preserve"> 3</w:t>
      </w:r>
      <w:r w:rsidR="008D0E8C">
        <w:t>.</w:t>
      </w:r>
    </w:p>
    <w:p w14:paraId="6591EC23" w14:textId="1F37422F" w:rsidR="004D51F1" w:rsidRDefault="004D51F1" w:rsidP="004D51F1">
      <w:r>
        <w:t>2.</w:t>
      </w:r>
      <w:r>
        <w:tab/>
      </w:r>
      <w:r w:rsidRPr="0091498E">
        <w:t xml:space="preserve">Immediately after </w:t>
      </w:r>
      <w:r>
        <w:t>entering</w:t>
      </w:r>
      <w:r w:rsidRPr="0091498E">
        <w:t xml:space="preserve"> in to force </w:t>
      </w:r>
      <w:r>
        <w:t>of this</w:t>
      </w:r>
      <w:r w:rsidRPr="0091498E">
        <w:t xml:space="preserve"> </w:t>
      </w:r>
      <w:r w:rsidR="00FB2C74">
        <w:t>Annex</w:t>
      </w:r>
      <w:r w:rsidRPr="0091498E">
        <w:t xml:space="preserve"> 3</w:t>
      </w:r>
      <w:r>
        <w:t>, but not later than by the 10th calendar day prior to the date of the first remuneration payment and, after that, at least 30 calendar days prior to the end of each</w:t>
      </w:r>
      <w:r w:rsidRPr="00476F04">
        <w:t xml:space="preserve"> year the service have been performed by </w:t>
      </w:r>
      <w:r w:rsidR="002E2691">
        <w:t>Coordination</w:t>
      </w:r>
      <w:r w:rsidR="009E64F6">
        <w:t xml:space="preserve"> </w:t>
      </w:r>
      <w:r w:rsidRPr="00476F04">
        <w:t>C</w:t>
      </w:r>
      <w:r w:rsidR="009E64F6">
        <w:t>entre</w:t>
      </w:r>
      <w:r>
        <w:t xml:space="preserve">, the Service Provider shall provide PSE with a completed verification questionnaire (via e-mail address indicated in Annex </w:t>
      </w:r>
      <w:r w:rsidR="00FB2C74">
        <w:t>3</w:t>
      </w:r>
      <w:r>
        <w:t xml:space="preserve"> with contact details), the template of which constitutes Appendix 2 to this Annex</w:t>
      </w:r>
      <w:r w:rsidR="00FB2C74">
        <w:t xml:space="preserve"> 3</w:t>
      </w:r>
      <w:r>
        <w:t>.</w:t>
      </w:r>
    </w:p>
    <w:p w14:paraId="189623AF" w14:textId="77777777" w:rsidR="00CD11D4" w:rsidRDefault="008044EE" w:rsidP="00CD11D4">
      <w:r>
        <w:t>3.</w:t>
      </w:r>
      <w:r>
        <w:tab/>
      </w:r>
      <w:r w:rsidR="00CD11D4" w:rsidRPr="00AB2F52">
        <w:t xml:space="preserve">Based on the information and data provided </w:t>
      </w:r>
      <w:r w:rsidR="00CD11D4">
        <w:t>by CCs,</w:t>
      </w:r>
      <w:r w:rsidR="00CD11D4" w:rsidRPr="00AB2F52">
        <w:t xml:space="preserve"> PSE may require the </w:t>
      </w:r>
      <w:r w:rsidR="00CD11D4">
        <w:t>CC</w:t>
      </w:r>
      <w:r w:rsidR="00CD11D4" w:rsidRPr="00AB2F52">
        <w:t xml:space="preserve"> to produce additional documents or deliver information necessary not to withhold the tax, and the </w:t>
      </w:r>
      <w:r w:rsidR="00CD11D4">
        <w:t>CC</w:t>
      </w:r>
      <w:r w:rsidR="00CD11D4" w:rsidRPr="00AB2F52">
        <w:t xml:space="preserve"> undertakes to provide such documents or information upon request, not later than by the 5th calendar day prior to the date of the upcoming payment, and on condition that (i) </w:t>
      </w:r>
      <w:r w:rsidR="00CD11D4">
        <w:t>CC</w:t>
      </w:r>
      <w:r w:rsidR="00CD11D4" w:rsidRPr="00AB2F52">
        <w:t xml:space="preserve"> would be factually able to obtain/prepare such additional data and (ii) this additional data will not constitute the confidential information or trade secret of </w:t>
      </w:r>
      <w:r w:rsidR="00CD11D4">
        <w:t>CC</w:t>
      </w:r>
      <w:r w:rsidR="00CD11D4" w:rsidRPr="00AB2F52">
        <w:t xml:space="preserve">. </w:t>
      </w:r>
    </w:p>
    <w:p w14:paraId="7F638E46" w14:textId="52E3AB64" w:rsidR="00006FAA" w:rsidRDefault="00006FAA" w:rsidP="004D51F1"/>
    <w:p w14:paraId="7C1A231C" w14:textId="276C7A4E" w:rsidR="004D51F1" w:rsidRDefault="004D51F1" w:rsidP="00246E74"/>
    <w:p w14:paraId="61D29C9F" w14:textId="77777777" w:rsidR="008C7D90" w:rsidRPr="005A325A" w:rsidRDefault="008C7D90" w:rsidP="008C7D90"/>
    <w:sectPr w:rsidR="008C7D90" w:rsidRPr="005A325A" w:rsidSect="009E0E53">
      <w:headerReference w:type="default" r:id="rId20"/>
      <w:footerReference w:type="default" r:id="rId21"/>
      <w:headerReference w:type="firs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7425" w14:textId="77777777" w:rsidR="00715EBE" w:rsidRDefault="00715EBE" w:rsidP="00722BDC">
      <w:pPr>
        <w:spacing w:after="0" w:line="240" w:lineRule="auto"/>
      </w:pPr>
      <w:r>
        <w:separator/>
      </w:r>
    </w:p>
  </w:endnote>
  <w:endnote w:type="continuationSeparator" w:id="0">
    <w:p w14:paraId="6C38E179" w14:textId="77777777" w:rsidR="00715EBE" w:rsidRDefault="00715EBE" w:rsidP="00722BDC">
      <w:pPr>
        <w:spacing w:after="0" w:line="240" w:lineRule="auto"/>
      </w:pPr>
      <w:r>
        <w:continuationSeparator/>
      </w:r>
    </w:p>
  </w:endnote>
  <w:endnote w:type="continuationNotice" w:id="1">
    <w:p w14:paraId="6945644C" w14:textId="77777777" w:rsidR="00715EBE" w:rsidRDefault="0071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rlow Semi Condensed">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570298"/>
      <w:docPartObj>
        <w:docPartGallery w:val="Page Numbers (Bottom of Page)"/>
        <w:docPartUnique/>
      </w:docPartObj>
    </w:sdtPr>
    <w:sdtEndPr/>
    <w:sdtContent>
      <w:p w14:paraId="171E43F9" w14:textId="35F9667A" w:rsidR="00EB03D7" w:rsidRDefault="00EB03D7" w:rsidP="004E2B05">
        <w:pPr>
          <w:pStyle w:val="Footer"/>
          <w:jc w:val="right"/>
        </w:pPr>
        <w:r>
          <w:fldChar w:fldCharType="begin"/>
        </w:r>
        <w:r>
          <w:instrText>PAGE   \* MERGEFORMAT</w:instrText>
        </w:r>
        <w:r>
          <w:fldChar w:fldCharType="separate"/>
        </w:r>
        <w:r w:rsidR="00263072" w:rsidRPr="00263072">
          <w:rPr>
            <w:noProof/>
            <w:lang w:val="de-DE"/>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2308" w14:textId="77777777" w:rsidR="00715EBE" w:rsidRDefault="00715EBE" w:rsidP="00722BDC">
      <w:pPr>
        <w:spacing w:after="0" w:line="240" w:lineRule="auto"/>
      </w:pPr>
      <w:r>
        <w:separator/>
      </w:r>
    </w:p>
  </w:footnote>
  <w:footnote w:type="continuationSeparator" w:id="0">
    <w:p w14:paraId="79B17BD8" w14:textId="77777777" w:rsidR="00715EBE" w:rsidRDefault="00715EBE" w:rsidP="00722BDC">
      <w:pPr>
        <w:spacing w:after="0" w:line="240" w:lineRule="auto"/>
      </w:pPr>
      <w:r>
        <w:continuationSeparator/>
      </w:r>
    </w:p>
  </w:footnote>
  <w:footnote w:type="continuationNotice" w:id="1">
    <w:p w14:paraId="0C6E5750" w14:textId="77777777" w:rsidR="00715EBE" w:rsidRDefault="00715EBE">
      <w:pPr>
        <w:spacing w:after="0" w:line="240" w:lineRule="auto"/>
      </w:pPr>
    </w:p>
  </w:footnote>
  <w:footnote w:id="2">
    <w:p w14:paraId="6CED2F90" w14:textId="2A07704D" w:rsidR="00EB03D7" w:rsidRPr="00F35B03" w:rsidRDefault="00EB03D7" w:rsidP="00DC31AF">
      <w:pPr>
        <w:pStyle w:val="FootnoteText"/>
      </w:pPr>
      <w:r>
        <w:rPr>
          <w:rStyle w:val="FootnoteReference"/>
        </w:rPr>
        <w:footnoteRef/>
      </w:r>
      <w:r>
        <w:t xml:space="preserve"> The </w:t>
      </w:r>
      <w:r w:rsidRPr="00DC31AF">
        <w:t xml:space="preserve">scheduled energy exchanges </w:t>
      </w:r>
      <w:r>
        <w:t xml:space="preserve">will additionally include the compensation program for the transition phase, see </w:t>
      </w:r>
      <w:r>
        <w:fldChar w:fldCharType="begin"/>
      </w:r>
      <w:r>
        <w:instrText xml:space="preserve"> REF _Ref55547602 \r \h </w:instrText>
      </w:r>
      <w:r>
        <w:fldChar w:fldCharType="separate"/>
      </w:r>
      <w:r>
        <w:t>C-10</w:t>
      </w:r>
      <w:r>
        <w:fldChar w:fldCharType="end"/>
      </w:r>
      <w:r>
        <w:t>.</w:t>
      </w:r>
    </w:p>
  </w:footnote>
  <w:footnote w:id="3">
    <w:p w14:paraId="082AD05D" w14:textId="5B3EC14D" w:rsidR="00137192" w:rsidRPr="00263072" w:rsidRDefault="00137192">
      <w:pPr>
        <w:pStyle w:val="FootnoteText"/>
        <w:rPr>
          <w:lang w:val="de-DE"/>
        </w:rPr>
      </w:pPr>
      <w:r>
        <w:rPr>
          <w:rStyle w:val="FootnoteReference"/>
        </w:rPr>
        <w:footnoteRef/>
      </w:r>
      <w:r>
        <w:t xml:space="preserve"> </w:t>
      </w:r>
      <w:r w:rsidRPr="00137192">
        <w:t>This designation is without prejudice to positions on status, and is in line with UNSCR 1244 and the ICJ Opinion on the Kosovo declaration of independence</w:t>
      </w:r>
    </w:p>
  </w:footnote>
  <w:footnote w:id="4">
    <w:p w14:paraId="0BDB7871" w14:textId="4A4120CE" w:rsidR="002E2691" w:rsidRPr="00263072" w:rsidRDefault="002E2691">
      <w:pPr>
        <w:pStyle w:val="FootnoteText"/>
        <w:rPr>
          <w:lang w:val="de-DE"/>
        </w:rPr>
      </w:pPr>
      <w:r>
        <w:rPr>
          <w:rStyle w:val="FootnoteReference"/>
        </w:rPr>
        <w:footnoteRef/>
      </w:r>
      <w:r>
        <w:t xml:space="preserve"> </w:t>
      </w:r>
      <w:r w:rsidRPr="00137192">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C793" w14:textId="77777777" w:rsidR="00EB03D7" w:rsidRPr="0000118A" w:rsidRDefault="00EB03D7" w:rsidP="00716BDD">
    <w:pPr>
      <w:spacing w:after="0"/>
      <w:rPr>
        <w:sz w:val="14"/>
      </w:rPr>
    </w:pPr>
  </w:p>
  <w:tbl>
    <w:tblPr>
      <w:tblW w:w="911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14"/>
    </w:tblGrid>
    <w:tr w:rsidR="00EB03D7" w:rsidRPr="00965255" w14:paraId="6471373B" w14:textId="77777777" w:rsidTr="5BCF031F">
      <w:trPr>
        <w:trHeight w:val="310"/>
      </w:trPr>
      <w:tc>
        <w:tcPr>
          <w:tcW w:w="9114" w:type="dxa"/>
          <w:shd w:val="clear" w:color="auto" w:fill="auto"/>
          <w:tcMar>
            <w:top w:w="113" w:type="dxa"/>
            <w:bottom w:w="113" w:type="dxa"/>
          </w:tcMar>
        </w:tcPr>
        <w:p w14:paraId="79F91A41" w14:textId="77777777" w:rsidR="00EB03D7" w:rsidRPr="00883381" w:rsidRDefault="00EB03D7" w:rsidP="00716BDD">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6660C9F1" w14:textId="77777777" w:rsidR="00EB03D7" w:rsidRPr="0000118A" w:rsidRDefault="00EB03D7" w:rsidP="00716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F83F" w14:textId="77777777" w:rsidR="00EB03D7" w:rsidRPr="0000118A" w:rsidRDefault="00EB03D7" w:rsidP="00C276BC">
    <w:pPr>
      <w:spacing w:after="0"/>
      <w:ind w:right="-1"/>
      <w:rPr>
        <w:sz w:val="14"/>
      </w:rPr>
    </w:pPr>
  </w:p>
  <w:tbl>
    <w:tblPr>
      <w:tblW w:w="916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60"/>
    </w:tblGrid>
    <w:tr w:rsidR="00EB03D7" w:rsidRPr="00965255" w14:paraId="703E8442" w14:textId="77777777" w:rsidTr="5BCF031F">
      <w:trPr>
        <w:trHeight w:val="336"/>
      </w:trPr>
      <w:tc>
        <w:tcPr>
          <w:tcW w:w="9160" w:type="dxa"/>
          <w:shd w:val="clear" w:color="auto" w:fill="auto"/>
          <w:tcMar>
            <w:top w:w="113" w:type="dxa"/>
            <w:bottom w:w="113" w:type="dxa"/>
          </w:tcMar>
        </w:tcPr>
        <w:p w14:paraId="0A4766C7" w14:textId="77777777" w:rsidR="00EB03D7" w:rsidRPr="00883381" w:rsidRDefault="00EB03D7" w:rsidP="00C276BC">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2964B903" w14:textId="77777777" w:rsidR="00EB03D7" w:rsidRDefault="00EB03D7" w:rsidP="00C276BC">
    <w:pPr>
      <w:pStyle w:val="Header"/>
    </w:pPr>
  </w:p>
  <w:p w14:paraId="181A6443" w14:textId="77777777" w:rsidR="00EB03D7" w:rsidRDefault="00EB03D7" w:rsidP="00C276BC">
    <w:pPr>
      <w:pStyle w:val="Header"/>
    </w:pPr>
  </w:p>
  <w:p w14:paraId="47850C58" w14:textId="77777777" w:rsidR="00EB03D7" w:rsidRDefault="00EB03D7" w:rsidP="00C276BC">
    <w:pPr>
      <w:pStyle w:val="Header"/>
    </w:pPr>
  </w:p>
  <w:p w14:paraId="56377A0A" w14:textId="77777777" w:rsidR="00EB03D7" w:rsidRDefault="00EB03D7" w:rsidP="00C276BC">
    <w:pPr>
      <w:pStyle w:val="Header"/>
    </w:pPr>
  </w:p>
  <w:p w14:paraId="2951A4F4" w14:textId="40AF0AD1" w:rsidR="00EB03D7" w:rsidRDefault="00D26D46" w:rsidP="00F456C5">
    <w:pPr>
      <w:pStyle w:val="Header"/>
      <w:jc w:val="right"/>
    </w:pPr>
    <w:sdt>
      <w:sdtPr>
        <w:alias w:val="Data Classification"/>
        <w:tag w:val="Category"/>
        <w:id w:val="1872408024"/>
        <w:placeholder>
          <w:docPart w:val="32F9E4BF457E4F948BDEE228462223A5"/>
        </w:placeholder>
        <w15:color w:val="0000FF"/>
        <w:dropDownList>
          <w:listItem w:displayText="Public" w:value="Data that can be shared within ENTSO-E without limitations, and that can be disclosed to third parties or published."/>
          <w:listItem w:displayText="Data open within ENTSO-E" w:value="Data that can be shared within ENTSO-E without limitations"/>
          <w:listItem w:displayText="Restricted" w:value="Data that can be shared internally on the “need to know basis” only. Special rules may apply."/>
        </w:dropDownList>
      </w:sdtPr>
      <w:sdtEndPr/>
      <w:sdtContent>
        <w:r w:rsidR="00F456C5" w:rsidRPr="00ED664C">
          <w:t>Data open within ENTSO-E</w:t>
        </w:r>
      </w:sdtContent>
    </w:sdt>
  </w:p>
  <w:p w14:paraId="3C31FDE1" w14:textId="77777777" w:rsidR="00EB03D7" w:rsidRDefault="00EB03D7" w:rsidP="00C276BC">
    <w:pPr>
      <w:pStyle w:val="Header"/>
    </w:pPr>
  </w:p>
  <w:p w14:paraId="64E58763" w14:textId="77777777" w:rsidR="00EB03D7" w:rsidRDefault="00EB03D7" w:rsidP="00C276BC">
    <w:pPr>
      <w:pStyle w:val="Header"/>
    </w:pPr>
  </w:p>
  <w:p w14:paraId="5487DB52" w14:textId="77777777" w:rsidR="00EB03D7" w:rsidRDefault="00EB03D7" w:rsidP="00C276BC">
    <w:pPr>
      <w:pStyle w:val="Header"/>
    </w:pPr>
  </w:p>
  <w:p w14:paraId="7AF5CA61" w14:textId="77777777" w:rsidR="00EB03D7" w:rsidRDefault="00EB03D7" w:rsidP="00C276BC">
    <w:pPr>
      <w:pStyle w:val="Header"/>
    </w:pPr>
  </w:p>
  <w:p w14:paraId="4261D32A" w14:textId="77777777" w:rsidR="00EB03D7" w:rsidRDefault="00EB03D7" w:rsidP="00C276BC">
    <w:pPr>
      <w:pStyle w:val="Header"/>
    </w:pPr>
  </w:p>
  <w:p w14:paraId="3DEEC9B3" w14:textId="77777777" w:rsidR="00EB03D7" w:rsidRDefault="00EB03D7" w:rsidP="00C276BC">
    <w:pPr>
      <w:pStyle w:val="Header"/>
    </w:pPr>
  </w:p>
  <w:p w14:paraId="0CBCB0E5" w14:textId="77777777" w:rsidR="00EB03D7" w:rsidRDefault="00EB03D7" w:rsidP="00C276BC">
    <w:pPr>
      <w:pStyle w:val="Header"/>
    </w:pPr>
  </w:p>
  <w:p w14:paraId="3DDB0501" w14:textId="77777777" w:rsidR="00EB03D7" w:rsidRDefault="00EB03D7" w:rsidP="00C276BC">
    <w:pPr>
      <w:pStyle w:val="Header"/>
    </w:pPr>
  </w:p>
  <w:p w14:paraId="165BB99A" w14:textId="77777777" w:rsidR="00EB03D7" w:rsidRDefault="00EB03D7" w:rsidP="00C276BC">
    <w:pPr>
      <w:pStyle w:val="Header"/>
    </w:pPr>
  </w:p>
  <w:p w14:paraId="57EC124D" w14:textId="77777777" w:rsidR="00EB03D7" w:rsidRDefault="00EB03D7" w:rsidP="00C276BC">
    <w:pPr>
      <w:pStyle w:val="Header"/>
    </w:pPr>
  </w:p>
  <w:p w14:paraId="1686E725" w14:textId="77777777" w:rsidR="00EB03D7" w:rsidRDefault="00EB03D7" w:rsidP="00C276BC">
    <w:pPr>
      <w:pStyle w:val="Header"/>
    </w:pPr>
  </w:p>
  <w:p w14:paraId="505E41BE" w14:textId="77777777" w:rsidR="00EB03D7" w:rsidRDefault="00EB03D7" w:rsidP="00C276BC">
    <w:pPr>
      <w:pStyle w:val="Header"/>
    </w:pPr>
  </w:p>
  <w:p w14:paraId="4B0D04EB" w14:textId="77777777" w:rsidR="00EB03D7" w:rsidRDefault="00EB03D7" w:rsidP="00C276BC">
    <w:pPr>
      <w:pStyle w:val="Header"/>
    </w:pPr>
  </w:p>
  <w:p w14:paraId="4D827E9E" w14:textId="77777777" w:rsidR="00EB03D7" w:rsidRDefault="00EB03D7" w:rsidP="00C276BC">
    <w:pPr>
      <w:pStyle w:val="Header"/>
    </w:pPr>
  </w:p>
  <w:p w14:paraId="224045AC" w14:textId="77777777" w:rsidR="00EB03D7" w:rsidRDefault="00EB03D7" w:rsidP="00C276BC">
    <w:pPr>
      <w:pStyle w:val="Header"/>
    </w:pPr>
  </w:p>
  <w:p w14:paraId="16BD9BE6" w14:textId="77777777" w:rsidR="00EB03D7" w:rsidRDefault="00EB03D7" w:rsidP="00C276BC">
    <w:pPr>
      <w:pStyle w:val="Header"/>
    </w:pPr>
  </w:p>
  <w:p w14:paraId="031273D1" w14:textId="77777777" w:rsidR="00EB03D7" w:rsidRDefault="00EB03D7" w:rsidP="00C276BC">
    <w:pPr>
      <w:pStyle w:val="Header"/>
    </w:pPr>
  </w:p>
  <w:p w14:paraId="75F1C14F" w14:textId="77777777" w:rsidR="00EB03D7" w:rsidRDefault="00EB03D7" w:rsidP="00C276BC">
    <w:pPr>
      <w:pStyle w:val="Header"/>
    </w:pPr>
  </w:p>
  <w:p w14:paraId="5691F03B" w14:textId="77777777" w:rsidR="00EB03D7" w:rsidRDefault="00EB03D7" w:rsidP="00C2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505B5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3D67C9"/>
    <w:multiLevelType w:val="hybridMultilevel"/>
    <w:tmpl w:val="CC50D1BE"/>
    <w:lvl w:ilvl="0" w:tplc="C658A028">
      <w:start w:val="1"/>
      <w:numFmt w:val="bullet"/>
      <w:pStyle w:val="Aufzhlung1"/>
      <w:lvlText w:val=""/>
      <w:lvlJc w:val="left"/>
      <w:pPr>
        <w:tabs>
          <w:tab w:val="num" w:pos="284"/>
        </w:tabs>
        <w:ind w:left="284" w:hanging="284"/>
      </w:pPr>
      <w:rPr>
        <w:rFonts w:ascii="Symbol" w:hAnsi="Symbol"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927B1"/>
    <w:multiLevelType w:val="hybridMultilevel"/>
    <w:tmpl w:val="CCA6A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602C0"/>
    <w:multiLevelType w:val="hybridMultilevel"/>
    <w:tmpl w:val="51940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2C1ED9"/>
    <w:multiLevelType w:val="hybridMultilevel"/>
    <w:tmpl w:val="66F89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48645C"/>
    <w:multiLevelType w:val="hybridMultilevel"/>
    <w:tmpl w:val="60D4131C"/>
    <w:lvl w:ilvl="0" w:tplc="8B582378">
      <w:start w:val="1"/>
      <w:numFmt w:val="decimal"/>
      <w:pStyle w:val="Parties"/>
      <w:lvlText w:val="(%1)"/>
      <w:lvlJc w:val="left"/>
      <w:pPr>
        <w:tabs>
          <w:tab w:val="num" w:pos="709"/>
        </w:tabs>
        <w:ind w:left="709" w:hanging="567"/>
      </w:pPr>
      <w:rPr>
        <w:rFonts w:cs="Times New Roman" w:hint="default"/>
        <w:b/>
        <w:i w:val="0"/>
      </w:rPr>
    </w:lvl>
    <w:lvl w:ilvl="1" w:tplc="13260912" w:tentative="1">
      <w:start w:val="1"/>
      <w:numFmt w:val="lowerLetter"/>
      <w:lvlText w:val="%2."/>
      <w:lvlJc w:val="left"/>
      <w:pPr>
        <w:tabs>
          <w:tab w:val="num" w:pos="1440"/>
        </w:tabs>
        <w:ind w:left="1440" w:hanging="360"/>
      </w:pPr>
      <w:rPr>
        <w:rFonts w:cs="Times New Roman"/>
      </w:rPr>
    </w:lvl>
    <w:lvl w:ilvl="2" w:tplc="7A0819B2" w:tentative="1">
      <w:start w:val="1"/>
      <w:numFmt w:val="lowerRoman"/>
      <w:lvlText w:val="%3."/>
      <w:lvlJc w:val="right"/>
      <w:pPr>
        <w:tabs>
          <w:tab w:val="num" w:pos="2160"/>
        </w:tabs>
        <w:ind w:left="2160" w:hanging="180"/>
      </w:pPr>
      <w:rPr>
        <w:rFonts w:cs="Times New Roman"/>
      </w:rPr>
    </w:lvl>
    <w:lvl w:ilvl="3" w:tplc="0728D8D2" w:tentative="1">
      <w:start w:val="1"/>
      <w:numFmt w:val="decimal"/>
      <w:lvlText w:val="%4."/>
      <w:lvlJc w:val="left"/>
      <w:pPr>
        <w:tabs>
          <w:tab w:val="num" w:pos="2880"/>
        </w:tabs>
        <w:ind w:left="2880" w:hanging="360"/>
      </w:pPr>
      <w:rPr>
        <w:rFonts w:cs="Times New Roman"/>
      </w:rPr>
    </w:lvl>
    <w:lvl w:ilvl="4" w:tplc="79A8A54A" w:tentative="1">
      <w:start w:val="1"/>
      <w:numFmt w:val="lowerLetter"/>
      <w:lvlText w:val="%5."/>
      <w:lvlJc w:val="left"/>
      <w:pPr>
        <w:tabs>
          <w:tab w:val="num" w:pos="3600"/>
        </w:tabs>
        <w:ind w:left="3600" w:hanging="360"/>
      </w:pPr>
      <w:rPr>
        <w:rFonts w:cs="Times New Roman"/>
      </w:rPr>
    </w:lvl>
    <w:lvl w:ilvl="5" w:tplc="9B86EC8A" w:tentative="1">
      <w:start w:val="1"/>
      <w:numFmt w:val="lowerRoman"/>
      <w:lvlText w:val="%6."/>
      <w:lvlJc w:val="right"/>
      <w:pPr>
        <w:tabs>
          <w:tab w:val="num" w:pos="4320"/>
        </w:tabs>
        <w:ind w:left="4320" w:hanging="180"/>
      </w:pPr>
      <w:rPr>
        <w:rFonts w:cs="Times New Roman"/>
      </w:rPr>
    </w:lvl>
    <w:lvl w:ilvl="6" w:tplc="15EEBADA" w:tentative="1">
      <w:start w:val="1"/>
      <w:numFmt w:val="decimal"/>
      <w:lvlText w:val="%7."/>
      <w:lvlJc w:val="left"/>
      <w:pPr>
        <w:tabs>
          <w:tab w:val="num" w:pos="5040"/>
        </w:tabs>
        <w:ind w:left="5040" w:hanging="360"/>
      </w:pPr>
      <w:rPr>
        <w:rFonts w:cs="Times New Roman"/>
      </w:rPr>
    </w:lvl>
    <w:lvl w:ilvl="7" w:tplc="C61EF1B6" w:tentative="1">
      <w:start w:val="1"/>
      <w:numFmt w:val="lowerLetter"/>
      <w:lvlText w:val="%8."/>
      <w:lvlJc w:val="left"/>
      <w:pPr>
        <w:tabs>
          <w:tab w:val="num" w:pos="5760"/>
        </w:tabs>
        <w:ind w:left="5760" w:hanging="360"/>
      </w:pPr>
      <w:rPr>
        <w:rFonts w:cs="Times New Roman"/>
      </w:rPr>
    </w:lvl>
    <w:lvl w:ilvl="8" w:tplc="6492B090" w:tentative="1">
      <w:start w:val="1"/>
      <w:numFmt w:val="lowerRoman"/>
      <w:lvlText w:val="%9."/>
      <w:lvlJc w:val="right"/>
      <w:pPr>
        <w:tabs>
          <w:tab w:val="num" w:pos="6480"/>
        </w:tabs>
        <w:ind w:left="6480" w:hanging="180"/>
      </w:pPr>
      <w:rPr>
        <w:rFonts w:cs="Times New Roman"/>
      </w:rPr>
    </w:lvl>
  </w:abstractNum>
  <w:abstractNum w:abstractNumId="6" w15:restartNumberingAfterBreak="0">
    <w:nsid w:val="0C7A57D0"/>
    <w:multiLevelType w:val="hybridMultilevel"/>
    <w:tmpl w:val="3EBE5D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0F22422C"/>
    <w:multiLevelType w:val="hybridMultilevel"/>
    <w:tmpl w:val="C2585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BA63EB"/>
    <w:multiLevelType w:val="hybridMultilevel"/>
    <w:tmpl w:val="156043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54A769E"/>
    <w:multiLevelType w:val="hybridMultilevel"/>
    <w:tmpl w:val="CE74D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2" w15:restartNumberingAfterBreak="0">
    <w:nsid w:val="1DAB6C12"/>
    <w:multiLevelType w:val="hybridMultilevel"/>
    <w:tmpl w:val="8744D650"/>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162F55"/>
    <w:multiLevelType w:val="hybridMultilevel"/>
    <w:tmpl w:val="3BE40B88"/>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1753AF"/>
    <w:multiLevelType w:val="hybridMultilevel"/>
    <w:tmpl w:val="4AB208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643F12"/>
    <w:multiLevelType w:val="hybridMultilevel"/>
    <w:tmpl w:val="A02C2DA2"/>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0326B8"/>
    <w:multiLevelType w:val="hybridMultilevel"/>
    <w:tmpl w:val="CDFCD1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28CF57BA"/>
    <w:multiLevelType w:val="hybridMultilevel"/>
    <w:tmpl w:val="62446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9F443A0"/>
    <w:multiLevelType w:val="hybridMultilevel"/>
    <w:tmpl w:val="0ACEC830"/>
    <w:lvl w:ilvl="0" w:tplc="78CA6002">
      <w:start w:val="1"/>
      <w:numFmt w:val="bullet"/>
      <w:lvlText w:val="•"/>
      <w:lvlJc w:val="left"/>
      <w:pPr>
        <w:tabs>
          <w:tab w:val="num" w:pos="720"/>
        </w:tabs>
        <w:ind w:left="720" w:hanging="360"/>
      </w:pPr>
      <w:rPr>
        <w:rFonts w:ascii="Arial" w:hAnsi="Arial" w:hint="default"/>
      </w:rPr>
    </w:lvl>
    <w:lvl w:ilvl="1" w:tplc="9544C952">
      <w:numFmt w:val="bullet"/>
      <w:lvlText w:val="•"/>
      <w:lvlJc w:val="left"/>
      <w:pPr>
        <w:tabs>
          <w:tab w:val="num" w:pos="1440"/>
        </w:tabs>
        <w:ind w:left="1440" w:hanging="360"/>
      </w:pPr>
      <w:rPr>
        <w:rFonts w:ascii="Arial" w:hAnsi="Arial" w:hint="default"/>
      </w:rPr>
    </w:lvl>
    <w:lvl w:ilvl="2" w:tplc="E3E0B3CC" w:tentative="1">
      <w:start w:val="1"/>
      <w:numFmt w:val="bullet"/>
      <w:lvlText w:val="•"/>
      <w:lvlJc w:val="left"/>
      <w:pPr>
        <w:tabs>
          <w:tab w:val="num" w:pos="2160"/>
        </w:tabs>
        <w:ind w:left="2160" w:hanging="360"/>
      </w:pPr>
      <w:rPr>
        <w:rFonts w:ascii="Arial" w:hAnsi="Arial" w:hint="default"/>
      </w:rPr>
    </w:lvl>
    <w:lvl w:ilvl="3" w:tplc="2B16362A" w:tentative="1">
      <w:start w:val="1"/>
      <w:numFmt w:val="bullet"/>
      <w:lvlText w:val="•"/>
      <w:lvlJc w:val="left"/>
      <w:pPr>
        <w:tabs>
          <w:tab w:val="num" w:pos="2880"/>
        </w:tabs>
        <w:ind w:left="2880" w:hanging="360"/>
      </w:pPr>
      <w:rPr>
        <w:rFonts w:ascii="Arial" w:hAnsi="Arial" w:hint="default"/>
      </w:rPr>
    </w:lvl>
    <w:lvl w:ilvl="4" w:tplc="6700F6C6" w:tentative="1">
      <w:start w:val="1"/>
      <w:numFmt w:val="bullet"/>
      <w:lvlText w:val="•"/>
      <w:lvlJc w:val="left"/>
      <w:pPr>
        <w:tabs>
          <w:tab w:val="num" w:pos="3600"/>
        </w:tabs>
        <w:ind w:left="3600" w:hanging="360"/>
      </w:pPr>
      <w:rPr>
        <w:rFonts w:ascii="Arial" w:hAnsi="Arial" w:hint="default"/>
      </w:rPr>
    </w:lvl>
    <w:lvl w:ilvl="5" w:tplc="B796A140" w:tentative="1">
      <w:start w:val="1"/>
      <w:numFmt w:val="bullet"/>
      <w:lvlText w:val="•"/>
      <w:lvlJc w:val="left"/>
      <w:pPr>
        <w:tabs>
          <w:tab w:val="num" w:pos="4320"/>
        </w:tabs>
        <w:ind w:left="4320" w:hanging="360"/>
      </w:pPr>
      <w:rPr>
        <w:rFonts w:ascii="Arial" w:hAnsi="Arial" w:hint="default"/>
      </w:rPr>
    </w:lvl>
    <w:lvl w:ilvl="6" w:tplc="9BAC887E" w:tentative="1">
      <w:start w:val="1"/>
      <w:numFmt w:val="bullet"/>
      <w:lvlText w:val="•"/>
      <w:lvlJc w:val="left"/>
      <w:pPr>
        <w:tabs>
          <w:tab w:val="num" w:pos="5040"/>
        </w:tabs>
        <w:ind w:left="5040" w:hanging="360"/>
      </w:pPr>
      <w:rPr>
        <w:rFonts w:ascii="Arial" w:hAnsi="Arial" w:hint="default"/>
      </w:rPr>
    </w:lvl>
    <w:lvl w:ilvl="7" w:tplc="F198F92E" w:tentative="1">
      <w:start w:val="1"/>
      <w:numFmt w:val="bullet"/>
      <w:lvlText w:val="•"/>
      <w:lvlJc w:val="left"/>
      <w:pPr>
        <w:tabs>
          <w:tab w:val="num" w:pos="5760"/>
        </w:tabs>
        <w:ind w:left="5760" w:hanging="360"/>
      </w:pPr>
      <w:rPr>
        <w:rFonts w:ascii="Arial" w:hAnsi="Arial" w:hint="default"/>
      </w:rPr>
    </w:lvl>
    <w:lvl w:ilvl="8" w:tplc="FBAEDD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043424E"/>
    <w:multiLevelType w:val="hybridMultilevel"/>
    <w:tmpl w:val="CECE519A"/>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308D4920"/>
    <w:multiLevelType w:val="hybridMultilevel"/>
    <w:tmpl w:val="3E18B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AB5949"/>
    <w:multiLevelType w:val="hybridMultilevel"/>
    <w:tmpl w:val="811A5FC4"/>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CD1DFF"/>
    <w:multiLevelType w:val="hybridMultilevel"/>
    <w:tmpl w:val="E23E2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F06FDE"/>
    <w:multiLevelType w:val="hybridMultilevel"/>
    <w:tmpl w:val="BE2C2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DE78D4"/>
    <w:multiLevelType w:val="hybridMultilevel"/>
    <w:tmpl w:val="9B9E8018"/>
    <w:lvl w:ilvl="0" w:tplc="10DE9912">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E213256"/>
    <w:multiLevelType w:val="hybridMultilevel"/>
    <w:tmpl w:val="763662B8"/>
    <w:lvl w:ilvl="0" w:tplc="0407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3F2E062E"/>
    <w:multiLevelType w:val="multilevel"/>
    <w:tmpl w:val="F9C6C814"/>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5" w:hanging="292"/>
      </w:pPr>
      <w:rPr>
        <w:rFonts w:hint="default"/>
      </w:rPr>
    </w:lvl>
    <w:lvl w:ilvl="2">
      <w:start w:val="1"/>
      <w:numFmt w:val="decimal"/>
      <w:pStyle w:val="Heading3"/>
      <w:lvlText w:val="%1-%2-%3"/>
      <w:lvlJc w:val="left"/>
      <w:pPr>
        <w:tabs>
          <w:tab w:val="num" w:pos="1134"/>
        </w:tabs>
        <w:ind w:left="720" w:hanging="153"/>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2" w:hanging="11"/>
      </w:pPr>
      <w:rPr>
        <w:rFonts w:hint="default"/>
        <w:sz w:val="24"/>
      </w:rPr>
    </w:lvl>
    <w:lvl w:ilvl="4">
      <w:start w:val="1"/>
      <w:numFmt w:val="decimal"/>
      <w:pStyle w:val="Heading5"/>
      <w:lvlText w:val="%1-%2-%3-%4-%5"/>
      <w:lvlJc w:val="left"/>
      <w:pPr>
        <w:ind w:left="1008" w:firstLine="126"/>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2237821"/>
    <w:multiLevelType w:val="hybridMultilevel"/>
    <w:tmpl w:val="9586D546"/>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29" w15:restartNumberingAfterBreak="0">
    <w:nsid w:val="4322424E"/>
    <w:multiLevelType w:val="hybridMultilevel"/>
    <w:tmpl w:val="F55ECD70"/>
    <w:lvl w:ilvl="0" w:tplc="DC60D16E">
      <w:start w:val="1"/>
      <w:numFmt w:val="low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5F3EE3"/>
    <w:multiLevelType w:val="hybridMultilevel"/>
    <w:tmpl w:val="9DC043B4"/>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31" w15:restartNumberingAfterBreak="0">
    <w:nsid w:val="49C96DC9"/>
    <w:multiLevelType w:val="hybridMultilevel"/>
    <w:tmpl w:val="5868E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A1144EC"/>
    <w:multiLevelType w:val="hybridMultilevel"/>
    <w:tmpl w:val="B26E9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CF101E0"/>
    <w:multiLevelType w:val="hybridMultilevel"/>
    <w:tmpl w:val="2E643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F5F2C6A"/>
    <w:multiLevelType w:val="hybridMultilevel"/>
    <w:tmpl w:val="3266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761FCD"/>
    <w:multiLevelType w:val="hybridMultilevel"/>
    <w:tmpl w:val="82B4B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0062C06"/>
    <w:multiLevelType w:val="hybridMultilevel"/>
    <w:tmpl w:val="3A089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16C6407"/>
    <w:multiLevelType w:val="hybridMultilevel"/>
    <w:tmpl w:val="30DCE5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533A1E47"/>
    <w:multiLevelType w:val="hybridMultilevel"/>
    <w:tmpl w:val="8C32F5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547B467E"/>
    <w:multiLevelType w:val="hybridMultilevel"/>
    <w:tmpl w:val="385A6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65E2CC5"/>
    <w:multiLevelType w:val="hybridMultilevel"/>
    <w:tmpl w:val="7FC4F2D6"/>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15:restartNumberingAfterBreak="0">
    <w:nsid w:val="5B3B263E"/>
    <w:multiLevelType w:val="hybridMultilevel"/>
    <w:tmpl w:val="27FAEF58"/>
    <w:lvl w:ilvl="0" w:tplc="040E0001">
      <w:start w:val="1"/>
      <w:numFmt w:val="bullet"/>
      <w:lvlText w:val=""/>
      <w:lvlJc w:val="left"/>
      <w:pPr>
        <w:ind w:left="1440" w:hanging="360"/>
      </w:pPr>
      <w:rPr>
        <w:rFonts w:ascii="Symbol" w:hAnsi="Symbol" w:hint="default"/>
      </w:rPr>
    </w:lvl>
    <w:lvl w:ilvl="1" w:tplc="83E8E93E">
      <w:numFmt w:val="bullet"/>
      <w:lvlText w:val="•"/>
      <w:lvlJc w:val="left"/>
      <w:pPr>
        <w:ind w:left="2160" w:hanging="360"/>
      </w:pPr>
      <w:rPr>
        <w:rFonts w:ascii="Calibri" w:eastAsiaTheme="minorHAnsi" w:hAnsi="Calibri" w:cstheme="minorBidi"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15:restartNumberingAfterBreak="0">
    <w:nsid w:val="5FE105C2"/>
    <w:multiLevelType w:val="hybridMultilevel"/>
    <w:tmpl w:val="AE06D0C8"/>
    <w:lvl w:ilvl="0" w:tplc="E486A53E">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2035501"/>
    <w:multiLevelType w:val="hybridMultilevel"/>
    <w:tmpl w:val="D22C5FAE"/>
    <w:lvl w:ilvl="0" w:tplc="D51AEE20">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30E605B"/>
    <w:multiLevelType w:val="hybridMultilevel"/>
    <w:tmpl w:val="94C6D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7975CA1"/>
    <w:multiLevelType w:val="hybridMultilevel"/>
    <w:tmpl w:val="B84489D8"/>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8682833"/>
    <w:multiLevelType w:val="hybridMultilevel"/>
    <w:tmpl w:val="F918AB34"/>
    <w:lvl w:ilvl="0" w:tplc="0E204B5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6BFA2536"/>
    <w:multiLevelType w:val="hybridMultilevel"/>
    <w:tmpl w:val="5FFEE9A4"/>
    <w:lvl w:ilvl="0" w:tplc="6AC2F6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3A5DEF"/>
    <w:multiLevelType w:val="hybridMultilevel"/>
    <w:tmpl w:val="C03E9336"/>
    <w:lvl w:ilvl="0" w:tplc="EE84055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F444CB1"/>
    <w:multiLevelType w:val="hybridMultilevel"/>
    <w:tmpl w:val="E982C2EC"/>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0" w15:restartNumberingAfterBreak="0">
    <w:nsid w:val="6F5A2D40"/>
    <w:multiLevelType w:val="hybridMultilevel"/>
    <w:tmpl w:val="5B94A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2AC79B6"/>
    <w:multiLevelType w:val="hybridMultilevel"/>
    <w:tmpl w:val="22E8642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2" w15:restartNumberingAfterBreak="0">
    <w:nsid w:val="762711C2"/>
    <w:multiLevelType w:val="hybridMultilevel"/>
    <w:tmpl w:val="DCD0BA56"/>
    <w:lvl w:ilvl="0" w:tplc="1B3E65A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CE7133"/>
    <w:multiLevelType w:val="hybridMultilevel"/>
    <w:tmpl w:val="1DC21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56" w15:restartNumberingAfterBreak="0">
    <w:nsid w:val="7C023DB0"/>
    <w:multiLevelType w:val="multilevel"/>
    <w:tmpl w:val="D45C5712"/>
    <w:lvl w:ilvl="0">
      <w:start w:val="1"/>
      <w:numFmt w:val="decimal"/>
      <w:lvlText w:val="(%1)"/>
      <w:lvlJc w:val="left"/>
      <w:pPr>
        <w:ind w:left="720" w:hanging="720"/>
      </w:pPr>
      <w:rPr>
        <w:rFonts w:hint="default"/>
        <w:b/>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57" w15:restartNumberingAfterBreak="0">
    <w:nsid w:val="7EA838D3"/>
    <w:multiLevelType w:val="hybridMultilevel"/>
    <w:tmpl w:val="7516712C"/>
    <w:lvl w:ilvl="0" w:tplc="1CB81A56">
      <w:start w:val="1"/>
      <w:numFmt w:val="bullet"/>
      <w:lvlText w:val="•"/>
      <w:lvlJc w:val="left"/>
      <w:pPr>
        <w:tabs>
          <w:tab w:val="num" w:pos="720"/>
        </w:tabs>
        <w:ind w:left="720" w:hanging="360"/>
      </w:pPr>
      <w:rPr>
        <w:rFonts w:ascii="Arial" w:hAnsi="Arial" w:cs="Times New Roman" w:hint="default"/>
      </w:rPr>
    </w:lvl>
    <w:lvl w:ilvl="1" w:tplc="ACB674C6">
      <w:start w:val="38"/>
      <w:numFmt w:val="bullet"/>
      <w:lvlText w:val="•"/>
      <w:lvlJc w:val="left"/>
      <w:pPr>
        <w:tabs>
          <w:tab w:val="num" w:pos="1440"/>
        </w:tabs>
        <w:ind w:left="1440" w:hanging="360"/>
      </w:pPr>
      <w:rPr>
        <w:rFonts w:ascii="Arial" w:hAnsi="Arial" w:cs="Times New Roman" w:hint="default"/>
      </w:rPr>
    </w:lvl>
    <w:lvl w:ilvl="2" w:tplc="32E63294">
      <w:start w:val="1"/>
      <w:numFmt w:val="bullet"/>
      <w:lvlText w:val="•"/>
      <w:lvlJc w:val="left"/>
      <w:pPr>
        <w:tabs>
          <w:tab w:val="num" w:pos="2160"/>
        </w:tabs>
        <w:ind w:left="2160" w:hanging="360"/>
      </w:pPr>
      <w:rPr>
        <w:rFonts w:ascii="Arial" w:hAnsi="Arial" w:cs="Times New Roman" w:hint="default"/>
      </w:rPr>
    </w:lvl>
    <w:lvl w:ilvl="3" w:tplc="AE92C950">
      <w:start w:val="1"/>
      <w:numFmt w:val="bullet"/>
      <w:lvlText w:val="•"/>
      <w:lvlJc w:val="left"/>
      <w:pPr>
        <w:tabs>
          <w:tab w:val="num" w:pos="2880"/>
        </w:tabs>
        <w:ind w:left="2880" w:hanging="360"/>
      </w:pPr>
      <w:rPr>
        <w:rFonts w:ascii="Arial" w:hAnsi="Arial" w:cs="Times New Roman" w:hint="default"/>
      </w:rPr>
    </w:lvl>
    <w:lvl w:ilvl="4" w:tplc="75C6A6B6">
      <w:start w:val="1"/>
      <w:numFmt w:val="bullet"/>
      <w:lvlText w:val="•"/>
      <w:lvlJc w:val="left"/>
      <w:pPr>
        <w:tabs>
          <w:tab w:val="num" w:pos="3600"/>
        </w:tabs>
        <w:ind w:left="3600" w:hanging="360"/>
      </w:pPr>
      <w:rPr>
        <w:rFonts w:ascii="Arial" w:hAnsi="Arial" w:cs="Times New Roman" w:hint="default"/>
      </w:rPr>
    </w:lvl>
    <w:lvl w:ilvl="5" w:tplc="48206B8E">
      <w:start w:val="1"/>
      <w:numFmt w:val="bullet"/>
      <w:lvlText w:val="•"/>
      <w:lvlJc w:val="left"/>
      <w:pPr>
        <w:tabs>
          <w:tab w:val="num" w:pos="4320"/>
        </w:tabs>
        <w:ind w:left="4320" w:hanging="360"/>
      </w:pPr>
      <w:rPr>
        <w:rFonts w:ascii="Arial" w:hAnsi="Arial" w:cs="Times New Roman" w:hint="default"/>
      </w:rPr>
    </w:lvl>
    <w:lvl w:ilvl="6" w:tplc="82649E88">
      <w:start w:val="1"/>
      <w:numFmt w:val="bullet"/>
      <w:lvlText w:val="•"/>
      <w:lvlJc w:val="left"/>
      <w:pPr>
        <w:tabs>
          <w:tab w:val="num" w:pos="5040"/>
        </w:tabs>
        <w:ind w:left="5040" w:hanging="360"/>
      </w:pPr>
      <w:rPr>
        <w:rFonts w:ascii="Arial" w:hAnsi="Arial" w:cs="Times New Roman" w:hint="default"/>
      </w:rPr>
    </w:lvl>
    <w:lvl w:ilvl="7" w:tplc="508A3288">
      <w:start w:val="1"/>
      <w:numFmt w:val="bullet"/>
      <w:lvlText w:val="•"/>
      <w:lvlJc w:val="left"/>
      <w:pPr>
        <w:tabs>
          <w:tab w:val="num" w:pos="5760"/>
        </w:tabs>
        <w:ind w:left="5760" w:hanging="360"/>
      </w:pPr>
      <w:rPr>
        <w:rFonts w:ascii="Arial" w:hAnsi="Arial" w:cs="Times New Roman" w:hint="default"/>
      </w:rPr>
    </w:lvl>
    <w:lvl w:ilvl="8" w:tplc="DB10A3D6">
      <w:start w:val="1"/>
      <w:numFmt w:val="bullet"/>
      <w:lvlText w:val="•"/>
      <w:lvlJc w:val="left"/>
      <w:pPr>
        <w:tabs>
          <w:tab w:val="num" w:pos="6480"/>
        </w:tabs>
        <w:ind w:left="6480" w:hanging="360"/>
      </w:pPr>
      <w:rPr>
        <w:rFonts w:ascii="Arial" w:hAnsi="Arial" w:cs="Times New Roman" w:hint="default"/>
      </w:rPr>
    </w:lvl>
  </w:abstractNum>
  <w:abstractNum w:abstractNumId="58" w15:restartNumberingAfterBreak="0">
    <w:nsid w:val="7F0E087D"/>
    <w:multiLevelType w:val="hybridMultilevel"/>
    <w:tmpl w:val="BB2E858E"/>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F8F531F"/>
    <w:multiLevelType w:val="hybridMultilevel"/>
    <w:tmpl w:val="108E9D3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987811">
    <w:abstractNumId w:val="11"/>
  </w:num>
  <w:num w:numId="2" w16cid:durableId="1991134928">
    <w:abstractNumId w:val="53"/>
  </w:num>
  <w:num w:numId="3" w16cid:durableId="1214927994">
    <w:abstractNumId w:val="55"/>
  </w:num>
  <w:num w:numId="4" w16cid:durableId="902915137">
    <w:abstractNumId w:val="27"/>
  </w:num>
  <w:num w:numId="5" w16cid:durableId="75439867">
    <w:abstractNumId w:val="1"/>
  </w:num>
  <w:num w:numId="6" w16cid:durableId="387998920">
    <w:abstractNumId w:val="19"/>
  </w:num>
  <w:num w:numId="7" w16cid:durableId="1528567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7906037">
    <w:abstractNumId w:val="52"/>
  </w:num>
  <w:num w:numId="9" w16cid:durableId="873350685">
    <w:abstractNumId w:val="24"/>
  </w:num>
  <w:num w:numId="10" w16cid:durableId="12416740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4970096">
    <w:abstractNumId w:val="0"/>
  </w:num>
  <w:num w:numId="12" w16cid:durableId="293869279">
    <w:abstractNumId w:val="23"/>
  </w:num>
  <w:num w:numId="13" w16cid:durableId="1145196953">
    <w:abstractNumId w:val="50"/>
  </w:num>
  <w:num w:numId="14" w16cid:durableId="684985590">
    <w:abstractNumId w:val="4"/>
  </w:num>
  <w:num w:numId="15" w16cid:durableId="194461476">
    <w:abstractNumId w:val="54"/>
  </w:num>
  <w:num w:numId="16" w16cid:durableId="81296386">
    <w:abstractNumId w:val="7"/>
  </w:num>
  <w:num w:numId="17" w16cid:durableId="809052530">
    <w:abstractNumId w:val="6"/>
  </w:num>
  <w:num w:numId="18" w16cid:durableId="1076130202">
    <w:abstractNumId w:val="2"/>
  </w:num>
  <w:num w:numId="19" w16cid:durableId="1186989293">
    <w:abstractNumId w:val="3"/>
  </w:num>
  <w:num w:numId="20" w16cid:durableId="2122724624">
    <w:abstractNumId w:val="27"/>
  </w:num>
  <w:num w:numId="21" w16cid:durableId="272324905">
    <w:abstractNumId w:val="27"/>
  </w:num>
  <w:num w:numId="22" w16cid:durableId="192038669">
    <w:abstractNumId w:val="27"/>
  </w:num>
  <w:num w:numId="23" w16cid:durableId="2024243020">
    <w:abstractNumId w:val="27"/>
  </w:num>
  <w:num w:numId="24" w16cid:durableId="4215789">
    <w:abstractNumId w:val="27"/>
  </w:num>
  <w:num w:numId="25" w16cid:durableId="1919628739">
    <w:abstractNumId w:val="27"/>
  </w:num>
  <w:num w:numId="26" w16cid:durableId="2015647128">
    <w:abstractNumId w:val="27"/>
  </w:num>
  <w:num w:numId="27" w16cid:durableId="1328636427">
    <w:abstractNumId w:val="27"/>
  </w:num>
  <w:num w:numId="28" w16cid:durableId="472872623">
    <w:abstractNumId w:val="27"/>
  </w:num>
  <w:num w:numId="29" w16cid:durableId="592206547">
    <w:abstractNumId w:val="27"/>
  </w:num>
  <w:num w:numId="30" w16cid:durableId="235360988">
    <w:abstractNumId w:val="27"/>
  </w:num>
  <w:num w:numId="31" w16cid:durableId="1610354927">
    <w:abstractNumId w:val="27"/>
  </w:num>
  <w:num w:numId="32" w16cid:durableId="1929341307">
    <w:abstractNumId w:val="27"/>
  </w:num>
  <w:num w:numId="33" w16cid:durableId="610671189">
    <w:abstractNumId w:val="27"/>
  </w:num>
  <w:num w:numId="34" w16cid:durableId="308288887">
    <w:abstractNumId w:val="27"/>
  </w:num>
  <w:num w:numId="35" w16cid:durableId="1937248963">
    <w:abstractNumId w:val="27"/>
  </w:num>
  <w:num w:numId="36" w16cid:durableId="547034954">
    <w:abstractNumId w:val="27"/>
  </w:num>
  <w:num w:numId="37" w16cid:durableId="1806314409">
    <w:abstractNumId w:val="9"/>
  </w:num>
  <w:num w:numId="38" w16cid:durableId="678045785">
    <w:abstractNumId w:val="44"/>
  </w:num>
  <w:num w:numId="39" w16cid:durableId="1472281950">
    <w:abstractNumId w:val="36"/>
  </w:num>
  <w:num w:numId="40" w16cid:durableId="1681395900">
    <w:abstractNumId w:val="59"/>
  </w:num>
  <w:num w:numId="41" w16cid:durableId="1143697765">
    <w:abstractNumId w:val="37"/>
  </w:num>
  <w:num w:numId="42" w16cid:durableId="719330714">
    <w:abstractNumId w:val="17"/>
  </w:num>
  <w:num w:numId="43" w16cid:durableId="1621573995">
    <w:abstractNumId w:val="14"/>
  </w:num>
  <w:num w:numId="44" w16cid:durableId="1192305884">
    <w:abstractNumId w:val="22"/>
  </w:num>
  <w:num w:numId="45" w16cid:durableId="2120176050">
    <w:abstractNumId w:val="31"/>
  </w:num>
  <w:num w:numId="46" w16cid:durableId="1034232049">
    <w:abstractNumId w:val="28"/>
  </w:num>
  <w:num w:numId="47" w16cid:durableId="1537740663">
    <w:abstractNumId w:val="21"/>
  </w:num>
  <w:num w:numId="48" w16cid:durableId="1784416906">
    <w:abstractNumId w:val="56"/>
  </w:num>
  <w:num w:numId="49" w16cid:durableId="21062619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2292150">
    <w:abstractNumId w:val="18"/>
  </w:num>
  <w:num w:numId="51" w16cid:durableId="13813263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83684934">
    <w:abstractNumId w:val="41"/>
  </w:num>
  <w:num w:numId="53" w16cid:durableId="1374504071">
    <w:abstractNumId w:val="46"/>
  </w:num>
  <w:num w:numId="54" w16cid:durableId="1770083511">
    <w:abstractNumId w:val="49"/>
  </w:num>
  <w:num w:numId="55" w16cid:durableId="2035306446">
    <w:abstractNumId w:val="8"/>
  </w:num>
  <w:num w:numId="56" w16cid:durableId="1643660221">
    <w:abstractNumId w:val="53"/>
  </w:num>
  <w:num w:numId="57" w16cid:durableId="288633039">
    <w:abstractNumId w:val="57"/>
  </w:num>
  <w:num w:numId="58" w16cid:durableId="567350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745354">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05671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14862573">
    <w:abstractNumId w:val="16"/>
  </w:num>
  <w:num w:numId="62" w16cid:durableId="163134397">
    <w:abstractNumId w:val="38"/>
  </w:num>
  <w:num w:numId="63" w16cid:durableId="1011107386">
    <w:abstractNumId w:val="40"/>
  </w:num>
  <w:num w:numId="64" w16cid:durableId="1547983717">
    <w:abstractNumId w:val="26"/>
  </w:num>
  <w:num w:numId="65" w16cid:durableId="20159570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02136326">
    <w:abstractNumId w:val="27"/>
  </w:num>
  <w:num w:numId="67" w16cid:durableId="11139403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35749269">
    <w:abstractNumId w:val="27"/>
  </w:num>
  <w:num w:numId="69" w16cid:durableId="14388647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41522725">
    <w:abstractNumId w:val="12"/>
  </w:num>
  <w:num w:numId="71" w16cid:durableId="1904171983">
    <w:abstractNumId w:val="58"/>
  </w:num>
  <w:num w:numId="72" w16cid:durableId="13997403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63670354">
    <w:abstractNumId w:val="30"/>
  </w:num>
  <w:num w:numId="74" w16cid:durableId="1209221264">
    <w:abstractNumId w:val="35"/>
  </w:num>
  <w:num w:numId="75" w16cid:durableId="1626959238">
    <w:abstractNumId w:val="32"/>
  </w:num>
  <w:num w:numId="76" w16cid:durableId="1928806854">
    <w:abstractNumId w:val="25"/>
  </w:num>
  <w:num w:numId="77" w16cid:durableId="2103410531">
    <w:abstractNumId w:val="45"/>
  </w:num>
  <w:num w:numId="78" w16cid:durableId="1839878618">
    <w:abstractNumId w:val="13"/>
  </w:num>
  <w:num w:numId="79" w16cid:durableId="1925727013">
    <w:abstractNumId w:val="47"/>
  </w:num>
  <w:num w:numId="80" w16cid:durableId="412170124">
    <w:abstractNumId w:val="43"/>
  </w:num>
  <w:num w:numId="81" w16cid:durableId="526989001">
    <w:abstractNumId w:val="48"/>
  </w:num>
  <w:num w:numId="82" w16cid:durableId="329677779">
    <w:abstractNumId w:val="39"/>
  </w:num>
  <w:num w:numId="83" w16cid:durableId="537203306">
    <w:abstractNumId w:val="33"/>
  </w:num>
  <w:num w:numId="84" w16cid:durableId="621157963">
    <w:abstractNumId w:val="34"/>
  </w:num>
  <w:num w:numId="85" w16cid:durableId="1867331119">
    <w:abstractNumId w:val="15"/>
  </w:num>
  <w:num w:numId="86" w16cid:durableId="1966112520">
    <w:abstractNumId w:val="29"/>
  </w:num>
  <w:num w:numId="87" w16cid:durableId="10518063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499072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56332939">
    <w:abstractNumId w:val="42"/>
  </w:num>
  <w:num w:numId="90" w16cid:durableId="438374395">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A24"/>
    <w:rsid w:val="00001A31"/>
    <w:rsid w:val="00002B89"/>
    <w:rsid w:val="00002E4F"/>
    <w:rsid w:val="00003578"/>
    <w:rsid w:val="000036A6"/>
    <w:rsid w:val="00004029"/>
    <w:rsid w:val="0000439F"/>
    <w:rsid w:val="00005738"/>
    <w:rsid w:val="0000582F"/>
    <w:rsid w:val="00005D02"/>
    <w:rsid w:val="00006FAA"/>
    <w:rsid w:val="00007142"/>
    <w:rsid w:val="0000774D"/>
    <w:rsid w:val="00007B9E"/>
    <w:rsid w:val="00007FCA"/>
    <w:rsid w:val="0001021F"/>
    <w:rsid w:val="0001045D"/>
    <w:rsid w:val="00013A5E"/>
    <w:rsid w:val="0001401F"/>
    <w:rsid w:val="00014316"/>
    <w:rsid w:val="00014CDB"/>
    <w:rsid w:val="00015466"/>
    <w:rsid w:val="0001681E"/>
    <w:rsid w:val="000171D7"/>
    <w:rsid w:val="0002021E"/>
    <w:rsid w:val="00020386"/>
    <w:rsid w:val="00020B5B"/>
    <w:rsid w:val="00020DDD"/>
    <w:rsid w:val="000219D5"/>
    <w:rsid w:val="0002209D"/>
    <w:rsid w:val="0002214C"/>
    <w:rsid w:val="00022334"/>
    <w:rsid w:val="00022DE4"/>
    <w:rsid w:val="00023C60"/>
    <w:rsid w:val="00023EAA"/>
    <w:rsid w:val="0002443D"/>
    <w:rsid w:val="00024869"/>
    <w:rsid w:val="00024BC8"/>
    <w:rsid w:val="00025183"/>
    <w:rsid w:val="000252B2"/>
    <w:rsid w:val="000265D1"/>
    <w:rsid w:val="000267A8"/>
    <w:rsid w:val="000268E7"/>
    <w:rsid w:val="00026C2F"/>
    <w:rsid w:val="000277AE"/>
    <w:rsid w:val="0002797B"/>
    <w:rsid w:val="0003023A"/>
    <w:rsid w:val="000303D9"/>
    <w:rsid w:val="0003099A"/>
    <w:rsid w:val="00030B2C"/>
    <w:rsid w:val="00030D3C"/>
    <w:rsid w:val="000315C5"/>
    <w:rsid w:val="0003183D"/>
    <w:rsid w:val="00031F42"/>
    <w:rsid w:val="00032646"/>
    <w:rsid w:val="00035040"/>
    <w:rsid w:val="00035A8B"/>
    <w:rsid w:val="00036B21"/>
    <w:rsid w:val="000371EE"/>
    <w:rsid w:val="000378AA"/>
    <w:rsid w:val="00037FBD"/>
    <w:rsid w:val="000400A4"/>
    <w:rsid w:val="00040D84"/>
    <w:rsid w:val="0004117B"/>
    <w:rsid w:val="000415B7"/>
    <w:rsid w:val="00041906"/>
    <w:rsid w:val="00043227"/>
    <w:rsid w:val="00043530"/>
    <w:rsid w:val="00043DFD"/>
    <w:rsid w:val="0004488A"/>
    <w:rsid w:val="00044A15"/>
    <w:rsid w:val="000455BD"/>
    <w:rsid w:val="000458A9"/>
    <w:rsid w:val="000458F2"/>
    <w:rsid w:val="000459A0"/>
    <w:rsid w:val="00045ED5"/>
    <w:rsid w:val="00045F83"/>
    <w:rsid w:val="000463F2"/>
    <w:rsid w:val="000468AE"/>
    <w:rsid w:val="00046B4C"/>
    <w:rsid w:val="00050A5F"/>
    <w:rsid w:val="00051DEE"/>
    <w:rsid w:val="000521A0"/>
    <w:rsid w:val="00052470"/>
    <w:rsid w:val="00052C39"/>
    <w:rsid w:val="00053303"/>
    <w:rsid w:val="000540F2"/>
    <w:rsid w:val="000544ED"/>
    <w:rsid w:val="000545B3"/>
    <w:rsid w:val="000547B4"/>
    <w:rsid w:val="00055053"/>
    <w:rsid w:val="0005512F"/>
    <w:rsid w:val="00057442"/>
    <w:rsid w:val="000579ED"/>
    <w:rsid w:val="00057B8E"/>
    <w:rsid w:val="000602C3"/>
    <w:rsid w:val="000603CF"/>
    <w:rsid w:val="00060F46"/>
    <w:rsid w:val="00060F52"/>
    <w:rsid w:val="00061034"/>
    <w:rsid w:val="00061609"/>
    <w:rsid w:val="00061BD1"/>
    <w:rsid w:val="000629C0"/>
    <w:rsid w:val="000635D3"/>
    <w:rsid w:val="0006368D"/>
    <w:rsid w:val="00063CE9"/>
    <w:rsid w:val="00063DFE"/>
    <w:rsid w:val="0006400A"/>
    <w:rsid w:val="000641BA"/>
    <w:rsid w:val="00064689"/>
    <w:rsid w:val="00064AF3"/>
    <w:rsid w:val="00064EBF"/>
    <w:rsid w:val="00065ED5"/>
    <w:rsid w:val="000661F1"/>
    <w:rsid w:val="00067361"/>
    <w:rsid w:val="00067DAD"/>
    <w:rsid w:val="00067DD0"/>
    <w:rsid w:val="00070026"/>
    <w:rsid w:val="000707A4"/>
    <w:rsid w:val="000710FE"/>
    <w:rsid w:val="0007110E"/>
    <w:rsid w:val="000715B8"/>
    <w:rsid w:val="00071A33"/>
    <w:rsid w:val="00071BAE"/>
    <w:rsid w:val="00072B30"/>
    <w:rsid w:val="00072E3A"/>
    <w:rsid w:val="00073A6F"/>
    <w:rsid w:val="00073C83"/>
    <w:rsid w:val="00073CEF"/>
    <w:rsid w:val="00073F89"/>
    <w:rsid w:val="000741F8"/>
    <w:rsid w:val="00074201"/>
    <w:rsid w:val="000746F7"/>
    <w:rsid w:val="00075462"/>
    <w:rsid w:val="00075472"/>
    <w:rsid w:val="000755B5"/>
    <w:rsid w:val="00075863"/>
    <w:rsid w:val="00075966"/>
    <w:rsid w:val="000759AD"/>
    <w:rsid w:val="00075A04"/>
    <w:rsid w:val="000800A3"/>
    <w:rsid w:val="00080E25"/>
    <w:rsid w:val="00081880"/>
    <w:rsid w:val="00081C7B"/>
    <w:rsid w:val="00082383"/>
    <w:rsid w:val="000824FA"/>
    <w:rsid w:val="00082677"/>
    <w:rsid w:val="00082AC3"/>
    <w:rsid w:val="000836FB"/>
    <w:rsid w:val="00083A61"/>
    <w:rsid w:val="00083E55"/>
    <w:rsid w:val="000840CB"/>
    <w:rsid w:val="0008558D"/>
    <w:rsid w:val="00085940"/>
    <w:rsid w:val="000862A5"/>
    <w:rsid w:val="00086642"/>
    <w:rsid w:val="00086757"/>
    <w:rsid w:val="00086970"/>
    <w:rsid w:val="00086A0D"/>
    <w:rsid w:val="00086B6D"/>
    <w:rsid w:val="00086DD9"/>
    <w:rsid w:val="00087162"/>
    <w:rsid w:val="00087A55"/>
    <w:rsid w:val="00090221"/>
    <w:rsid w:val="00090EA1"/>
    <w:rsid w:val="00090F5B"/>
    <w:rsid w:val="000913EE"/>
    <w:rsid w:val="000915CF"/>
    <w:rsid w:val="00091A38"/>
    <w:rsid w:val="00091E35"/>
    <w:rsid w:val="00091E97"/>
    <w:rsid w:val="00092F86"/>
    <w:rsid w:val="00093ACB"/>
    <w:rsid w:val="000946B9"/>
    <w:rsid w:val="00094819"/>
    <w:rsid w:val="00094F96"/>
    <w:rsid w:val="000950D3"/>
    <w:rsid w:val="00095656"/>
    <w:rsid w:val="00095668"/>
    <w:rsid w:val="00095D22"/>
    <w:rsid w:val="00096295"/>
    <w:rsid w:val="000968B4"/>
    <w:rsid w:val="000968C7"/>
    <w:rsid w:val="00096A28"/>
    <w:rsid w:val="00097BA0"/>
    <w:rsid w:val="00097BFB"/>
    <w:rsid w:val="000A0535"/>
    <w:rsid w:val="000A0738"/>
    <w:rsid w:val="000A1191"/>
    <w:rsid w:val="000A122B"/>
    <w:rsid w:val="000A1573"/>
    <w:rsid w:val="000A24C8"/>
    <w:rsid w:val="000A28F7"/>
    <w:rsid w:val="000A2A3B"/>
    <w:rsid w:val="000A36EE"/>
    <w:rsid w:val="000A3B58"/>
    <w:rsid w:val="000A3BD0"/>
    <w:rsid w:val="000A3CA2"/>
    <w:rsid w:val="000A4D0A"/>
    <w:rsid w:val="000A510B"/>
    <w:rsid w:val="000A515A"/>
    <w:rsid w:val="000A631F"/>
    <w:rsid w:val="000A678B"/>
    <w:rsid w:val="000A7BD1"/>
    <w:rsid w:val="000B047A"/>
    <w:rsid w:val="000B0C80"/>
    <w:rsid w:val="000B0E2E"/>
    <w:rsid w:val="000B19F5"/>
    <w:rsid w:val="000B1B2F"/>
    <w:rsid w:val="000B205B"/>
    <w:rsid w:val="000B25D4"/>
    <w:rsid w:val="000B2C64"/>
    <w:rsid w:val="000B2D3D"/>
    <w:rsid w:val="000B38CF"/>
    <w:rsid w:val="000B4048"/>
    <w:rsid w:val="000B644B"/>
    <w:rsid w:val="000B6520"/>
    <w:rsid w:val="000B71DF"/>
    <w:rsid w:val="000B7CA1"/>
    <w:rsid w:val="000C002F"/>
    <w:rsid w:val="000C0266"/>
    <w:rsid w:val="000C052D"/>
    <w:rsid w:val="000C0611"/>
    <w:rsid w:val="000C0616"/>
    <w:rsid w:val="000C0893"/>
    <w:rsid w:val="000C1068"/>
    <w:rsid w:val="000C1D4B"/>
    <w:rsid w:val="000C1ED4"/>
    <w:rsid w:val="000C3170"/>
    <w:rsid w:val="000C320D"/>
    <w:rsid w:val="000C3547"/>
    <w:rsid w:val="000C369D"/>
    <w:rsid w:val="000C488B"/>
    <w:rsid w:val="000C4C73"/>
    <w:rsid w:val="000C5008"/>
    <w:rsid w:val="000C50FC"/>
    <w:rsid w:val="000C5D1D"/>
    <w:rsid w:val="000C5EE6"/>
    <w:rsid w:val="000C5F8B"/>
    <w:rsid w:val="000C6F86"/>
    <w:rsid w:val="000C75A4"/>
    <w:rsid w:val="000C7B24"/>
    <w:rsid w:val="000D12D0"/>
    <w:rsid w:val="000D1BF3"/>
    <w:rsid w:val="000D1D4D"/>
    <w:rsid w:val="000D1E55"/>
    <w:rsid w:val="000D206C"/>
    <w:rsid w:val="000D251F"/>
    <w:rsid w:val="000D2572"/>
    <w:rsid w:val="000D2597"/>
    <w:rsid w:val="000D310C"/>
    <w:rsid w:val="000D32D4"/>
    <w:rsid w:val="000D45A3"/>
    <w:rsid w:val="000D4637"/>
    <w:rsid w:val="000D4787"/>
    <w:rsid w:val="000D4A4C"/>
    <w:rsid w:val="000D639B"/>
    <w:rsid w:val="000D69C5"/>
    <w:rsid w:val="000D72A6"/>
    <w:rsid w:val="000D72E8"/>
    <w:rsid w:val="000E06FB"/>
    <w:rsid w:val="000E08B9"/>
    <w:rsid w:val="000E0A14"/>
    <w:rsid w:val="000E12A3"/>
    <w:rsid w:val="000E13F1"/>
    <w:rsid w:val="000E1CC0"/>
    <w:rsid w:val="000E222F"/>
    <w:rsid w:val="000E2646"/>
    <w:rsid w:val="000E296F"/>
    <w:rsid w:val="000E2B80"/>
    <w:rsid w:val="000E2D8B"/>
    <w:rsid w:val="000E35E0"/>
    <w:rsid w:val="000E4915"/>
    <w:rsid w:val="000E4C31"/>
    <w:rsid w:val="000E51FF"/>
    <w:rsid w:val="000E5BE2"/>
    <w:rsid w:val="000E6581"/>
    <w:rsid w:val="000E6BB2"/>
    <w:rsid w:val="000E736A"/>
    <w:rsid w:val="000E7A19"/>
    <w:rsid w:val="000E7DD9"/>
    <w:rsid w:val="000E7F5A"/>
    <w:rsid w:val="000F0122"/>
    <w:rsid w:val="000F01C0"/>
    <w:rsid w:val="000F1CFC"/>
    <w:rsid w:val="000F20B7"/>
    <w:rsid w:val="000F532B"/>
    <w:rsid w:val="000F5BC2"/>
    <w:rsid w:val="000F7019"/>
    <w:rsid w:val="000F73FA"/>
    <w:rsid w:val="001000D0"/>
    <w:rsid w:val="0010023B"/>
    <w:rsid w:val="001009AA"/>
    <w:rsid w:val="00100AB7"/>
    <w:rsid w:val="00100EC1"/>
    <w:rsid w:val="00100FA3"/>
    <w:rsid w:val="001010B3"/>
    <w:rsid w:val="0010204D"/>
    <w:rsid w:val="001023E8"/>
    <w:rsid w:val="0010384B"/>
    <w:rsid w:val="00104037"/>
    <w:rsid w:val="00104199"/>
    <w:rsid w:val="00104DBC"/>
    <w:rsid w:val="00105044"/>
    <w:rsid w:val="001055C9"/>
    <w:rsid w:val="001055CD"/>
    <w:rsid w:val="00105873"/>
    <w:rsid w:val="00106816"/>
    <w:rsid w:val="00106EC6"/>
    <w:rsid w:val="00107F75"/>
    <w:rsid w:val="00110580"/>
    <w:rsid w:val="00110B19"/>
    <w:rsid w:val="00111998"/>
    <w:rsid w:val="00111AA3"/>
    <w:rsid w:val="001139B6"/>
    <w:rsid w:val="00113DBA"/>
    <w:rsid w:val="00114202"/>
    <w:rsid w:val="0011450A"/>
    <w:rsid w:val="00114AD4"/>
    <w:rsid w:val="00115C7C"/>
    <w:rsid w:val="00115FDB"/>
    <w:rsid w:val="001165D9"/>
    <w:rsid w:val="001167BB"/>
    <w:rsid w:val="0011681D"/>
    <w:rsid w:val="00116AF2"/>
    <w:rsid w:val="00117465"/>
    <w:rsid w:val="001174A4"/>
    <w:rsid w:val="00120B4E"/>
    <w:rsid w:val="00120DDF"/>
    <w:rsid w:val="00121AB4"/>
    <w:rsid w:val="00122474"/>
    <w:rsid w:val="001229D8"/>
    <w:rsid w:val="00122F75"/>
    <w:rsid w:val="001231C0"/>
    <w:rsid w:val="0012415A"/>
    <w:rsid w:val="001247C3"/>
    <w:rsid w:val="00125244"/>
    <w:rsid w:val="00126D88"/>
    <w:rsid w:val="00126D94"/>
    <w:rsid w:val="00127B1C"/>
    <w:rsid w:val="00127E83"/>
    <w:rsid w:val="00130CEE"/>
    <w:rsid w:val="0013104E"/>
    <w:rsid w:val="00131525"/>
    <w:rsid w:val="00131DC5"/>
    <w:rsid w:val="001321B5"/>
    <w:rsid w:val="001326B6"/>
    <w:rsid w:val="0013284E"/>
    <w:rsid w:val="00133D19"/>
    <w:rsid w:val="00133F11"/>
    <w:rsid w:val="00134071"/>
    <w:rsid w:val="00135764"/>
    <w:rsid w:val="00135F5D"/>
    <w:rsid w:val="00136005"/>
    <w:rsid w:val="001369C5"/>
    <w:rsid w:val="00136DDD"/>
    <w:rsid w:val="00136DF0"/>
    <w:rsid w:val="00136EA2"/>
    <w:rsid w:val="00137192"/>
    <w:rsid w:val="001400A5"/>
    <w:rsid w:val="0014060B"/>
    <w:rsid w:val="0014154A"/>
    <w:rsid w:val="0014166C"/>
    <w:rsid w:val="00142536"/>
    <w:rsid w:val="0014338C"/>
    <w:rsid w:val="00143E0C"/>
    <w:rsid w:val="00144369"/>
    <w:rsid w:val="001448EB"/>
    <w:rsid w:val="00145AE2"/>
    <w:rsid w:val="001464DB"/>
    <w:rsid w:val="001464E9"/>
    <w:rsid w:val="0014650D"/>
    <w:rsid w:val="00146512"/>
    <w:rsid w:val="00147261"/>
    <w:rsid w:val="00150970"/>
    <w:rsid w:val="00150F0F"/>
    <w:rsid w:val="00150FBE"/>
    <w:rsid w:val="00151099"/>
    <w:rsid w:val="001511BB"/>
    <w:rsid w:val="0015226F"/>
    <w:rsid w:val="0015360B"/>
    <w:rsid w:val="00153BDB"/>
    <w:rsid w:val="0015424F"/>
    <w:rsid w:val="00154592"/>
    <w:rsid w:val="00155236"/>
    <w:rsid w:val="00155BB3"/>
    <w:rsid w:val="001564D2"/>
    <w:rsid w:val="00156F48"/>
    <w:rsid w:val="001575BB"/>
    <w:rsid w:val="001617AA"/>
    <w:rsid w:val="001617D9"/>
    <w:rsid w:val="00161867"/>
    <w:rsid w:val="001623F8"/>
    <w:rsid w:val="001624F6"/>
    <w:rsid w:val="001629A0"/>
    <w:rsid w:val="001631FC"/>
    <w:rsid w:val="00163963"/>
    <w:rsid w:val="00163DF6"/>
    <w:rsid w:val="001640B2"/>
    <w:rsid w:val="0016439A"/>
    <w:rsid w:val="00165105"/>
    <w:rsid w:val="001658E7"/>
    <w:rsid w:val="00165AB9"/>
    <w:rsid w:val="00165C1D"/>
    <w:rsid w:val="00165C3A"/>
    <w:rsid w:val="00165F0E"/>
    <w:rsid w:val="001660F1"/>
    <w:rsid w:val="00166927"/>
    <w:rsid w:val="00166E11"/>
    <w:rsid w:val="0016716E"/>
    <w:rsid w:val="001674E0"/>
    <w:rsid w:val="0016784C"/>
    <w:rsid w:val="0017019D"/>
    <w:rsid w:val="001706C7"/>
    <w:rsid w:val="00170F90"/>
    <w:rsid w:val="00171103"/>
    <w:rsid w:val="0017181D"/>
    <w:rsid w:val="001718C8"/>
    <w:rsid w:val="00171AF5"/>
    <w:rsid w:val="00172D45"/>
    <w:rsid w:val="001730B4"/>
    <w:rsid w:val="00173B2C"/>
    <w:rsid w:val="00173E2C"/>
    <w:rsid w:val="00174280"/>
    <w:rsid w:val="00174A05"/>
    <w:rsid w:val="0017525A"/>
    <w:rsid w:val="0017602B"/>
    <w:rsid w:val="0017653A"/>
    <w:rsid w:val="001776CA"/>
    <w:rsid w:val="00177B85"/>
    <w:rsid w:val="00180279"/>
    <w:rsid w:val="00180552"/>
    <w:rsid w:val="0018175F"/>
    <w:rsid w:val="001820F6"/>
    <w:rsid w:val="001826FE"/>
    <w:rsid w:val="00182A15"/>
    <w:rsid w:val="00183693"/>
    <w:rsid w:val="00183D00"/>
    <w:rsid w:val="001841E3"/>
    <w:rsid w:val="00184274"/>
    <w:rsid w:val="00185466"/>
    <w:rsid w:val="001855C0"/>
    <w:rsid w:val="001856B9"/>
    <w:rsid w:val="00185DE0"/>
    <w:rsid w:val="00185ECC"/>
    <w:rsid w:val="001866A6"/>
    <w:rsid w:val="0018729C"/>
    <w:rsid w:val="0018730B"/>
    <w:rsid w:val="0018783B"/>
    <w:rsid w:val="00191931"/>
    <w:rsid w:val="00191C98"/>
    <w:rsid w:val="001921A0"/>
    <w:rsid w:val="0019253D"/>
    <w:rsid w:val="00192676"/>
    <w:rsid w:val="00192767"/>
    <w:rsid w:val="001929D8"/>
    <w:rsid w:val="0019363E"/>
    <w:rsid w:val="0019468E"/>
    <w:rsid w:val="00195A41"/>
    <w:rsid w:val="00195A70"/>
    <w:rsid w:val="00195DDB"/>
    <w:rsid w:val="001961A8"/>
    <w:rsid w:val="0019632C"/>
    <w:rsid w:val="00196494"/>
    <w:rsid w:val="00196B92"/>
    <w:rsid w:val="001971E1"/>
    <w:rsid w:val="00197942"/>
    <w:rsid w:val="00197DA8"/>
    <w:rsid w:val="001A0698"/>
    <w:rsid w:val="001A0B25"/>
    <w:rsid w:val="001A0BCD"/>
    <w:rsid w:val="001A0D3F"/>
    <w:rsid w:val="001A18F6"/>
    <w:rsid w:val="001A2944"/>
    <w:rsid w:val="001A2A6C"/>
    <w:rsid w:val="001A2DE0"/>
    <w:rsid w:val="001A3228"/>
    <w:rsid w:val="001A4047"/>
    <w:rsid w:val="001A43F3"/>
    <w:rsid w:val="001A5412"/>
    <w:rsid w:val="001A5BDB"/>
    <w:rsid w:val="001A6012"/>
    <w:rsid w:val="001A6465"/>
    <w:rsid w:val="001A6AAE"/>
    <w:rsid w:val="001A6B98"/>
    <w:rsid w:val="001A787F"/>
    <w:rsid w:val="001A7945"/>
    <w:rsid w:val="001A7B82"/>
    <w:rsid w:val="001B00A5"/>
    <w:rsid w:val="001B0135"/>
    <w:rsid w:val="001B0CF1"/>
    <w:rsid w:val="001B107D"/>
    <w:rsid w:val="001B10D7"/>
    <w:rsid w:val="001B116A"/>
    <w:rsid w:val="001B1356"/>
    <w:rsid w:val="001B1C01"/>
    <w:rsid w:val="001B1FFD"/>
    <w:rsid w:val="001B2ED4"/>
    <w:rsid w:val="001B308D"/>
    <w:rsid w:val="001B3CC5"/>
    <w:rsid w:val="001B4A27"/>
    <w:rsid w:val="001B4B5C"/>
    <w:rsid w:val="001B536E"/>
    <w:rsid w:val="001B5501"/>
    <w:rsid w:val="001B5B58"/>
    <w:rsid w:val="001B5CD2"/>
    <w:rsid w:val="001B6721"/>
    <w:rsid w:val="001B6923"/>
    <w:rsid w:val="001B696B"/>
    <w:rsid w:val="001B735B"/>
    <w:rsid w:val="001B75C2"/>
    <w:rsid w:val="001B77F3"/>
    <w:rsid w:val="001B7D05"/>
    <w:rsid w:val="001B7E2F"/>
    <w:rsid w:val="001C07C5"/>
    <w:rsid w:val="001C0BBF"/>
    <w:rsid w:val="001C0E23"/>
    <w:rsid w:val="001C2268"/>
    <w:rsid w:val="001C2A8B"/>
    <w:rsid w:val="001C2D1D"/>
    <w:rsid w:val="001C304C"/>
    <w:rsid w:val="001C322E"/>
    <w:rsid w:val="001C33D8"/>
    <w:rsid w:val="001C3BEA"/>
    <w:rsid w:val="001C490B"/>
    <w:rsid w:val="001C4C0D"/>
    <w:rsid w:val="001C5B54"/>
    <w:rsid w:val="001C626E"/>
    <w:rsid w:val="001C6A3D"/>
    <w:rsid w:val="001C7528"/>
    <w:rsid w:val="001D0BFF"/>
    <w:rsid w:val="001D1264"/>
    <w:rsid w:val="001D145B"/>
    <w:rsid w:val="001D14BD"/>
    <w:rsid w:val="001D15F5"/>
    <w:rsid w:val="001D1949"/>
    <w:rsid w:val="001D1D63"/>
    <w:rsid w:val="001D1FD3"/>
    <w:rsid w:val="001D2601"/>
    <w:rsid w:val="001D3219"/>
    <w:rsid w:val="001D3384"/>
    <w:rsid w:val="001D3F91"/>
    <w:rsid w:val="001D420B"/>
    <w:rsid w:val="001D425C"/>
    <w:rsid w:val="001D47E9"/>
    <w:rsid w:val="001D4C85"/>
    <w:rsid w:val="001D5151"/>
    <w:rsid w:val="001D52A4"/>
    <w:rsid w:val="001D5CCB"/>
    <w:rsid w:val="001D6762"/>
    <w:rsid w:val="001D6C78"/>
    <w:rsid w:val="001D6EB0"/>
    <w:rsid w:val="001D72A4"/>
    <w:rsid w:val="001D74D2"/>
    <w:rsid w:val="001E0AA4"/>
    <w:rsid w:val="001E169C"/>
    <w:rsid w:val="001E1A9E"/>
    <w:rsid w:val="001E2309"/>
    <w:rsid w:val="001E2DC5"/>
    <w:rsid w:val="001E31FE"/>
    <w:rsid w:val="001E32D1"/>
    <w:rsid w:val="001E3712"/>
    <w:rsid w:val="001E3C25"/>
    <w:rsid w:val="001E4894"/>
    <w:rsid w:val="001E6401"/>
    <w:rsid w:val="001E64DB"/>
    <w:rsid w:val="001E658A"/>
    <w:rsid w:val="001E66B2"/>
    <w:rsid w:val="001E6EA9"/>
    <w:rsid w:val="001E6F73"/>
    <w:rsid w:val="001E71B8"/>
    <w:rsid w:val="001E74B4"/>
    <w:rsid w:val="001E7D5E"/>
    <w:rsid w:val="001E7E46"/>
    <w:rsid w:val="001F00D4"/>
    <w:rsid w:val="001F094A"/>
    <w:rsid w:val="001F0AAC"/>
    <w:rsid w:val="001F0B14"/>
    <w:rsid w:val="001F1032"/>
    <w:rsid w:val="001F14B5"/>
    <w:rsid w:val="001F181C"/>
    <w:rsid w:val="001F18C2"/>
    <w:rsid w:val="001F1CCA"/>
    <w:rsid w:val="001F24D5"/>
    <w:rsid w:val="001F2D73"/>
    <w:rsid w:val="001F459E"/>
    <w:rsid w:val="001F4DA7"/>
    <w:rsid w:val="001F4F1E"/>
    <w:rsid w:val="001F5DE3"/>
    <w:rsid w:val="001F6EEB"/>
    <w:rsid w:val="001F70C1"/>
    <w:rsid w:val="00200AF3"/>
    <w:rsid w:val="00200B9C"/>
    <w:rsid w:val="00200FB0"/>
    <w:rsid w:val="00201858"/>
    <w:rsid w:val="00201D7D"/>
    <w:rsid w:val="0020276B"/>
    <w:rsid w:val="00202E8B"/>
    <w:rsid w:val="0020309B"/>
    <w:rsid w:val="002036F3"/>
    <w:rsid w:val="00203E32"/>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2047"/>
    <w:rsid w:val="0021219D"/>
    <w:rsid w:val="00212975"/>
    <w:rsid w:val="00212A4A"/>
    <w:rsid w:val="00212B0C"/>
    <w:rsid w:val="002137D5"/>
    <w:rsid w:val="00213E4E"/>
    <w:rsid w:val="00215143"/>
    <w:rsid w:val="0021670E"/>
    <w:rsid w:val="00216F96"/>
    <w:rsid w:val="002176EF"/>
    <w:rsid w:val="00217998"/>
    <w:rsid w:val="00217FC9"/>
    <w:rsid w:val="0022052F"/>
    <w:rsid w:val="00221410"/>
    <w:rsid w:val="002215D8"/>
    <w:rsid w:val="002215E3"/>
    <w:rsid w:val="002216CA"/>
    <w:rsid w:val="0022269E"/>
    <w:rsid w:val="0022297A"/>
    <w:rsid w:val="00222F6C"/>
    <w:rsid w:val="0022335D"/>
    <w:rsid w:val="00223F66"/>
    <w:rsid w:val="00224938"/>
    <w:rsid w:val="0022495F"/>
    <w:rsid w:val="00226C66"/>
    <w:rsid w:val="00227899"/>
    <w:rsid w:val="00227BA2"/>
    <w:rsid w:val="00227D9B"/>
    <w:rsid w:val="00230B8E"/>
    <w:rsid w:val="00231589"/>
    <w:rsid w:val="00231706"/>
    <w:rsid w:val="00231EB4"/>
    <w:rsid w:val="00231EB8"/>
    <w:rsid w:val="002336F4"/>
    <w:rsid w:val="00233D17"/>
    <w:rsid w:val="00234036"/>
    <w:rsid w:val="0023453E"/>
    <w:rsid w:val="00235196"/>
    <w:rsid w:val="00235265"/>
    <w:rsid w:val="002353E9"/>
    <w:rsid w:val="00236057"/>
    <w:rsid w:val="00236B46"/>
    <w:rsid w:val="002370EE"/>
    <w:rsid w:val="002377CA"/>
    <w:rsid w:val="002378D3"/>
    <w:rsid w:val="00241380"/>
    <w:rsid w:val="0024286F"/>
    <w:rsid w:val="00243892"/>
    <w:rsid w:val="002438D5"/>
    <w:rsid w:val="00243D10"/>
    <w:rsid w:val="00243FBA"/>
    <w:rsid w:val="00244D8C"/>
    <w:rsid w:val="00244F26"/>
    <w:rsid w:val="0024587F"/>
    <w:rsid w:val="00245F3A"/>
    <w:rsid w:val="002464B6"/>
    <w:rsid w:val="00246923"/>
    <w:rsid w:val="00246A5D"/>
    <w:rsid w:val="00246E74"/>
    <w:rsid w:val="00247440"/>
    <w:rsid w:val="00247945"/>
    <w:rsid w:val="00250170"/>
    <w:rsid w:val="00250D21"/>
    <w:rsid w:val="002514CE"/>
    <w:rsid w:val="00251E2D"/>
    <w:rsid w:val="00252718"/>
    <w:rsid w:val="0025303C"/>
    <w:rsid w:val="00253066"/>
    <w:rsid w:val="002530FD"/>
    <w:rsid w:val="002531B7"/>
    <w:rsid w:val="00253994"/>
    <w:rsid w:val="002548B7"/>
    <w:rsid w:val="00254AF4"/>
    <w:rsid w:val="00254FE7"/>
    <w:rsid w:val="0025657C"/>
    <w:rsid w:val="002565EB"/>
    <w:rsid w:val="00257230"/>
    <w:rsid w:val="00257574"/>
    <w:rsid w:val="00257ACF"/>
    <w:rsid w:val="00260D4F"/>
    <w:rsid w:val="00262D6B"/>
    <w:rsid w:val="00263072"/>
    <w:rsid w:val="00264376"/>
    <w:rsid w:val="002643C4"/>
    <w:rsid w:val="00264B8F"/>
    <w:rsid w:val="00265587"/>
    <w:rsid w:val="00265E09"/>
    <w:rsid w:val="00265F08"/>
    <w:rsid w:val="00265FC1"/>
    <w:rsid w:val="00266397"/>
    <w:rsid w:val="00266921"/>
    <w:rsid w:val="00266A13"/>
    <w:rsid w:val="002671E4"/>
    <w:rsid w:val="00267E17"/>
    <w:rsid w:val="0027021A"/>
    <w:rsid w:val="002712DC"/>
    <w:rsid w:val="00271632"/>
    <w:rsid w:val="00271724"/>
    <w:rsid w:val="00272DB5"/>
    <w:rsid w:val="002733E8"/>
    <w:rsid w:val="00273870"/>
    <w:rsid w:val="00273FC3"/>
    <w:rsid w:val="002748F8"/>
    <w:rsid w:val="00274DC8"/>
    <w:rsid w:val="00274E91"/>
    <w:rsid w:val="002754AE"/>
    <w:rsid w:val="00275840"/>
    <w:rsid w:val="002758C6"/>
    <w:rsid w:val="002762AB"/>
    <w:rsid w:val="0027660D"/>
    <w:rsid w:val="00276C6E"/>
    <w:rsid w:val="00276EC4"/>
    <w:rsid w:val="00277261"/>
    <w:rsid w:val="00277420"/>
    <w:rsid w:val="002775AD"/>
    <w:rsid w:val="00277C15"/>
    <w:rsid w:val="00277DF9"/>
    <w:rsid w:val="0028041C"/>
    <w:rsid w:val="00281B50"/>
    <w:rsid w:val="0028241D"/>
    <w:rsid w:val="0028310C"/>
    <w:rsid w:val="0028384E"/>
    <w:rsid w:val="00284268"/>
    <w:rsid w:val="0028429D"/>
    <w:rsid w:val="0028543C"/>
    <w:rsid w:val="00285998"/>
    <w:rsid w:val="00285EAE"/>
    <w:rsid w:val="00285F07"/>
    <w:rsid w:val="00286635"/>
    <w:rsid w:val="002870DC"/>
    <w:rsid w:val="00290833"/>
    <w:rsid w:val="00290DC9"/>
    <w:rsid w:val="00290FF6"/>
    <w:rsid w:val="002912F8"/>
    <w:rsid w:val="00291337"/>
    <w:rsid w:val="00291376"/>
    <w:rsid w:val="0029144D"/>
    <w:rsid w:val="002914A7"/>
    <w:rsid w:val="00291913"/>
    <w:rsid w:val="00291A36"/>
    <w:rsid w:val="00292247"/>
    <w:rsid w:val="00292346"/>
    <w:rsid w:val="00292A19"/>
    <w:rsid w:val="00292B72"/>
    <w:rsid w:val="00293142"/>
    <w:rsid w:val="00293590"/>
    <w:rsid w:val="002935F8"/>
    <w:rsid w:val="00293C53"/>
    <w:rsid w:val="0029406D"/>
    <w:rsid w:val="002942F3"/>
    <w:rsid w:val="00294325"/>
    <w:rsid w:val="0029436C"/>
    <w:rsid w:val="0029500A"/>
    <w:rsid w:val="00295D5B"/>
    <w:rsid w:val="00295F9C"/>
    <w:rsid w:val="00296056"/>
    <w:rsid w:val="00297036"/>
    <w:rsid w:val="00297207"/>
    <w:rsid w:val="00297577"/>
    <w:rsid w:val="002A06BE"/>
    <w:rsid w:val="002A0A81"/>
    <w:rsid w:val="002A1CE0"/>
    <w:rsid w:val="002A246A"/>
    <w:rsid w:val="002A25D8"/>
    <w:rsid w:val="002A45B0"/>
    <w:rsid w:val="002A4AD2"/>
    <w:rsid w:val="002A4D0B"/>
    <w:rsid w:val="002A63E1"/>
    <w:rsid w:val="002A734E"/>
    <w:rsid w:val="002A7C28"/>
    <w:rsid w:val="002A7DED"/>
    <w:rsid w:val="002B0553"/>
    <w:rsid w:val="002B0820"/>
    <w:rsid w:val="002B0E29"/>
    <w:rsid w:val="002B154C"/>
    <w:rsid w:val="002B21A8"/>
    <w:rsid w:val="002B226C"/>
    <w:rsid w:val="002B2552"/>
    <w:rsid w:val="002B2A7A"/>
    <w:rsid w:val="002B2AFB"/>
    <w:rsid w:val="002B2BA1"/>
    <w:rsid w:val="002B2F15"/>
    <w:rsid w:val="002B35B9"/>
    <w:rsid w:val="002B4448"/>
    <w:rsid w:val="002B4998"/>
    <w:rsid w:val="002B5277"/>
    <w:rsid w:val="002B5672"/>
    <w:rsid w:val="002B5876"/>
    <w:rsid w:val="002B5BD6"/>
    <w:rsid w:val="002B5D7B"/>
    <w:rsid w:val="002B611C"/>
    <w:rsid w:val="002B6651"/>
    <w:rsid w:val="002B686F"/>
    <w:rsid w:val="002B694B"/>
    <w:rsid w:val="002B6EC0"/>
    <w:rsid w:val="002B7284"/>
    <w:rsid w:val="002C0098"/>
    <w:rsid w:val="002C0591"/>
    <w:rsid w:val="002C06CD"/>
    <w:rsid w:val="002C0EAE"/>
    <w:rsid w:val="002C1743"/>
    <w:rsid w:val="002C1F86"/>
    <w:rsid w:val="002C2085"/>
    <w:rsid w:val="002C2502"/>
    <w:rsid w:val="002C2863"/>
    <w:rsid w:val="002C2967"/>
    <w:rsid w:val="002C33F0"/>
    <w:rsid w:val="002C3A67"/>
    <w:rsid w:val="002C5B25"/>
    <w:rsid w:val="002C6690"/>
    <w:rsid w:val="002C6A73"/>
    <w:rsid w:val="002C6DE9"/>
    <w:rsid w:val="002C70EF"/>
    <w:rsid w:val="002C742E"/>
    <w:rsid w:val="002C74BB"/>
    <w:rsid w:val="002C76BE"/>
    <w:rsid w:val="002D2651"/>
    <w:rsid w:val="002D28F3"/>
    <w:rsid w:val="002D36B4"/>
    <w:rsid w:val="002D3A20"/>
    <w:rsid w:val="002D46F9"/>
    <w:rsid w:val="002D4A28"/>
    <w:rsid w:val="002D4A65"/>
    <w:rsid w:val="002D4F74"/>
    <w:rsid w:val="002D5664"/>
    <w:rsid w:val="002D5DA3"/>
    <w:rsid w:val="002D5EA7"/>
    <w:rsid w:val="002D61BA"/>
    <w:rsid w:val="002D622C"/>
    <w:rsid w:val="002D649F"/>
    <w:rsid w:val="002D64FD"/>
    <w:rsid w:val="002D68D4"/>
    <w:rsid w:val="002D694D"/>
    <w:rsid w:val="002D69F7"/>
    <w:rsid w:val="002D6B00"/>
    <w:rsid w:val="002D6BB2"/>
    <w:rsid w:val="002D6C42"/>
    <w:rsid w:val="002D7973"/>
    <w:rsid w:val="002D79B0"/>
    <w:rsid w:val="002D7B62"/>
    <w:rsid w:val="002E0CFB"/>
    <w:rsid w:val="002E0F79"/>
    <w:rsid w:val="002E1249"/>
    <w:rsid w:val="002E142F"/>
    <w:rsid w:val="002E183D"/>
    <w:rsid w:val="002E1B52"/>
    <w:rsid w:val="002E20E9"/>
    <w:rsid w:val="002E2204"/>
    <w:rsid w:val="002E2691"/>
    <w:rsid w:val="002E26C7"/>
    <w:rsid w:val="002E2740"/>
    <w:rsid w:val="002E29F9"/>
    <w:rsid w:val="002E2CA0"/>
    <w:rsid w:val="002E2E92"/>
    <w:rsid w:val="002E4092"/>
    <w:rsid w:val="002E5363"/>
    <w:rsid w:val="002E5564"/>
    <w:rsid w:val="002E5E11"/>
    <w:rsid w:val="002E5FDD"/>
    <w:rsid w:val="002E64FA"/>
    <w:rsid w:val="002E7065"/>
    <w:rsid w:val="002E79B0"/>
    <w:rsid w:val="002F05A6"/>
    <w:rsid w:val="002F0820"/>
    <w:rsid w:val="002F0B27"/>
    <w:rsid w:val="002F1492"/>
    <w:rsid w:val="002F19E1"/>
    <w:rsid w:val="002F23C3"/>
    <w:rsid w:val="002F2CFA"/>
    <w:rsid w:val="002F2E99"/>
    <w:rsid w:val="002F33F5"/>
    <w:rsid w:val="002F34EA"/>
    <w:rsid w:val="002F428C"/>
    <w:rsid w:val="002F4ADF"/>
    <w:rsid w:val="002F55DA"/>
    <w:rsid w:val="002F5CD1"/>
    <w:rsid w:val="002F65C9"/>
    <w:rsid w:val="002F718B"/>
    <w:rsid w:val="002F76C3"/>
    <w:rsid w:val="00300F11"/>
    <w:rsid w:val="00301033"/>
    <w:rsid w:val="00301614"/>
    <w:rsid w:val="00301AE4"/>
    <w:rsid w:val="003023DF"/>
    <w:rsid w:val="00302679"/>
    <w:rsid w:val="0030296D"/>
    <w:rsid w:val="00302EAD"/>
    <w:rsid w:val="00302F6A"/>
    <w:rsid w:val="00303DD7"/>
    <w:rsid w:val="0030432D"/>
    <w:rsid w:val="003046DA"/>
    <w:rsid w:val="0030479A"/>
    <w:rsid w:val="00306618"/>
    <w:rsid w:val="003072D6"/>
    <w:rsid w:val="00307386"/>
    <w:rsid w:val="0031028B"/>
    <w:rsid w:val="00310301"/>
    <w:rsid w:val="00310B7E"/>
    <w:rsid w:val="00310F1B"/>
    <w:rsid w:val="0031133E"/>
    <w:rsid w:val="003126B2"/>
    <w:rsid w:val="00312751"/>
    <w:rsid w:val="00313627"/>
    <w:rsid w:val="0031551B"/>
    <w:rsid w:val="00315E8F"/>
    <w:rsid w:val="00316401"/>
    <w:rsid w:val="003164C7"/>
    <w:rsid w:val="00316CC4"/>
    <w:rsid w:val="00317397"/>
    <w:rsid w:val="0031748B"/>
    <w:rsid w:val="003202C0"/>
    <w:rsid w:val="00320BB1"/>
    <w:rsid w:val="0032136B"/>
    <w:rsid w:val="003218D7"/>
    <w:rsid w:val="00322303"/>
    <w:rsid w:val="00322B4E"/>
    <w:rsid w:val="00322DB2"/>
    <w:rsid w:val="00322E08"/>
    <w:rsid w:val="00323287"/>
    <w:rsid w:val="00323FA9"/>
    <w:rsid w:val="00324186"/>
    <w:rsid w:val="003243B8"/>
    <w:rsid w:val="00325B10"/>
    <w:rsid w:val="00325CA6"/>
    <w:rsid w:val="00325EA5"/>
    <w:rsid w:val="003266B5"/>
    <w:rsid w:val="00326F28"/>
    <w:rsid w:val="00326FC3"/>
    <w:rsid w:val="0032741F"/>
    <w:rsid w:val="00327848"/>
    <w:rsid w:val="00327C98"/>
    <w:rsid w:val="00327CA9"/>
    <w:rsid w:val="00327CD4"/>
    <w:rsid w:val="00327E14"/>
    <w:rsid w:val="003309C0"/>
    <w:rsid w:val="003315AB"/>
    <w:rsid w:val="00331A9F"/>
    <w:rsid w:val="0033308B"/>
    <w:rsid w:val="003330BD"/>
    <w:rsid w:val="00333114"/>
    <w:rsid w:val="0033354A"/>
    <w:rsid w:val="00333600"/>
    <w:rsid w:val="00333E5A"/>
    <w:rsid w:val="00334013"/>
    <w:rsid w:val="00334B6D"/>
    <w:rsid w:val="003357AF"/>
    <w:rsid w:val="003358AF"/>
    <w:rsid w:val="00335933"/>
    <w:rsid w:val="003359B0"/>
    <w:rsid w:val="00335A0E"/>
    <w:rsid w:val="0033622F"/>
    <w:rsid w:val="00336CDD"/>
    <w:rsid w:val="00336DD6"/>
    <w:rsid w:val="003370CC"/>
    <w:rsid w:val="003372A5"/>
    <w:rsid w:val="00340A1B"/>
    <w:rsid w:val="00340E4D"/>
    <w:rsid w:val="0034141F"/>
    <w:rsid w:val="0034150E"/>
    <w:rsid w:val="0034180F"/>
    <w:rsid w:val="00341A71"/>
    <w:rsid w:val="0034231A"/>
    <w:rsid w:val="003427A8"/>
    <w:rsid w:val="00343177"/>
    <w:rsid w:val="0034372C"/>
    <w:rsid w:val="003440C9"/>
    <w:rsid w:val="003441FB"/>
    <w:rsid w:val="0034445A"/>
    <w:rsid w:val="00345A0E"/>
    <w:rsid w:val="00345AF3"/>
    <w:rsid w:val="00345D0F"/>
    <w:rsid w:val="0034601B"/>
    <w:rsid w:val="00346A5F"/>
    <w:rsid w:val="003471EC"/>
    <w:rsid w:val="00347E20"/>
    <w:rsid w:val="00347FDC"/>
    <w:rsid w:val="00350022"/>
    <w:rsid w:val="0035036C"/>
    <w:rsid w:val="00352545"/>
    <w:rsid w:val="00352A18"/>
    <w:rsid w:val="00352AD3"/>
    <w:rsid w:val="00352F09"/>
    <w:rsid w:val="00353594"/>
    <w:rsid w:val="00353F55"/>
    <w:rsid w:val="00354AE7"/>
    <w:rsid w:val="00356206"/>
    <w:rsid w:val="00356A8D"/>
    <w:rsid w:val="00356BED"/>
    <w:rsid w:val="003577C6"/>
    <w:rsid w:val="00360CED"/>
    <w:rsid w:val="00360FB8"/>
    <w:rsid w:val="0036121C"/>
    <w:rsid w:val="00361D52"/>
    <w:rsid w:val="00361E0D"/>
    <w:rsid w:val="003623D4"/>
    <w:rsid w:val="00363137"/>
    <w:rsid w:val="0036354A"/>
    <w:rsid w:val="00363EE5"/>
    <w:rsid w:val="00363F93"/>
    <w:rsid w:val="00364209"/>
    <w:rsid w:val="00364B3C"/>
    <w:rsid w:val="00364CD6"/>
    <w:rsid w:val="0036508A"/>
    <w:rsid w:val="00365682"/>
    <w:rsid w:val="00365916"/>
    <w:rsid w:val="00366C00"/>
    <w:rsid w:val="00366FBB"/>
    <w:rsid w:val="00367536"/>
    <w:rsid w:val="0036790A"/>
    <w:rsid w:val="00367A53"/>
    <w:rsid w:val="00367D5E"/>
    <w:rsid w:val="00367EFE"/>
    <w:rsid w:val="00367FD3"/>
    <w:rsid w:val="0037032E"/>
    <w:rsid w:val="00370A25"/>
    <w:rsid w:val="003714BE"/>
    <w:rsid w:val="00371C16"/>
    <w:rsid w:val="00372057"/>
    <w:rsid w:val="00372E83"/>
    <w:rsid w:val="00373710"/>
    <w:rsid w:val="003738B9"/>
    <w:rsid w:val="00373E80"/>
    <w:rsid w:val="00373EDE"/>
    <w:rsid w:val="003741DD"/>
    <w:rsid w:val="003754D8"/>
    <w:rsid w:val="00375807"/>
    <w:rsid w:val="00375B8E"/>
    <w:rsid w:val="00375B9D"/>
    <w:rsid w:val="00375C95"/>
    <w:rsid w:val="00376562"/>
    <w:rsid w:val="0037703E"/>
    <w:rsid w:val="00377A61"/>
    <w:rsid w:val="00380015"/>
    <w:rsid w:val="0038027B"/>
    <w:rsid w:val="0038046C"/>
    <w:rsid w:val="00380FF8"/>
    <w:rsid w:val="00381478"/>
    <w:rsid w:val="00381B71"/>
    <w:rsid w:val="00382422"/>
    <w:rsid w:val="00382E87"/>
    <w:rsid w:val="00383785"/>
    <w:rsid w:val="003837A6"/>
    <w:rsid w:val="0038426E"/>
    <w:rsid w:val="00384428"/>
    <w:rsid w:val="00385562"/>
    <w:rsid w:val="003857BC"/>
    <w:rsid w:val="003858AB"/>
    <w:rsid w:val="003859B5"/>
    <w:rsid w:val="003867D8"/>
    <w:rsid w:val="0038691D"/>
    <w:rsid w:val="00387576"/>
    <w:rsid w:val="00387980"/>
    <w:rsid w:val="00387FD7"/>
    <w:rsid w:val="003901C2"/>
    <w:rsid w:val="0039061E"/>
    <w:rsid w:val="0039091E"/>
    <w:rsid w:val="00390B0B"/>
    <w:rsid w:val="00390E73"/>
    <w:rsid w:val="0039171A"/>
    <w:rsid w:val="00391B48"/>
    <w:rsid w:val="00392878"/>
    <w:rsid w:val="00392E2C"/>
    <w:rsid w:val="00393242"/>
    <w:rsid w:val="003940BD"/>
    <w:rsid w:val="003941E7"/>
    <w:rsid w:val="003943F5"/>
    <w:rsid w:val="003944CE"/>
    <w:rsid w:val="003946CA"/>
    <w:rsid w:val="00394FB0"/>
    <w:rsid w:val="00395079"/>
    <w:rsid w:val="00395152"/>
    <w:rsid w:val="003951B7"/>
    <w:rsid w:val="00395712"/>
    <w:rsid w:val="003960F9"/>
    <w:rsid w:val="0039651D"/>
    <w:rsid w:val="003966C3"/>
    <w:rsid w:val="003969C2"/>
    <w:rsid w:val="00396B44"/>
    <w:rsid w:val="00396C5C"/>
    <w:rsid w:val="0039759A"/>
    <w:rsid w:val="00397732"/>
    <w:rsid w:val="00397DDD"/>
    <w:rsid w:val="003A03D3"/>
    <w:rsid w:val="003A0768"/>
    <w:rsid w:val="003A12F1"/>
    <w:rsid w:val="003A2A1D"/>
    <w:rsid w:val="003A2C51"/>
    <w:rsid w:val="003A2C88"/>
    <w:rsid w:val="003A2E2B"/>
    <w:rsid w:val="003A2FB8"/>
    <w:rsid w:val="003A3B63"/>
    <w:rsid w:val="003A4029"/>
    <w:rsid w:val="003A41EB"/>
    <w:rsid w:val="003A487C"/>
    <w:rsid w:val="003A4D68"/>
    <w:rsid w:val="003A5251"/>
    <w:rsid w:val="003A5553"/>
    <w:rsid w:val="003A5F0E"/>
    <w:rsid w:val="003A62CE"/>
    <w:rsid w:val="003A6564"/>
    <w:rsid w:val="003A65F6"/>
    <w:rsid w:val="003A7D46"/>
    <w:rsid w:val="003B0146"/>
    <w:rsid w:val="003B0197"/>
    <w:rsid w:val="003B20D7"/>
    <w:rsid w:val="003B2E76"/>
    <w:rsid w:val="003B30FF"/>
    <w:rsid w:val="003B3862"/>
    <w:rsid w:val="003B3CED"/>
    <w:rsid w:val="003B41E2"/>
    <w:rsid w:val="003B4B1F"/>
    <w:rsid w:val="003B505C"/>
    <w:rsid w:val="003B630A"/>
    <w:rsid w:val="003B64D5"/>
    <w:rsid w:val="003B66FE"/>
    <w:rsid w:val="003B67CB"/>
    <w:rsid w:val="003B6894"/>
    <w:rsid w:val="003B7335"/>
    <w:rsid w:val="003B7B16"/>
    <w:rsid w:val="003B7C82"/>
    <w:rsid w:val="003C089D"/>
    <w:rsid w:val="003C0E92"/>
    <w:rsid w:val="003C10D3"/>
    <w:rsid w:val="003C20DB"/>
    <w:rsid w:val="003C2572"/>
    <w:rsid w:val="003C25E4"/>
    <w:rsid w:val="003C3159"/>
    <w:rsid w:val="003C336C"/>
    <w:rsid w:val="003C33FF"/>
    <w:rsid w:val="003C3964"/>
    <w:rsid w:val="003C4885"/>
    <w:rsid w:val="003C4E12"/>
    <w:rsid w:val="003C5055"/>
    <w:rsid w:val="003C5873"/>
    <w:rsid w:val="003C5B2E"/>
    <w:rsid w:val="003C5FDF"/>
    <w:rsid w:val="003C65D1"/>
    <w:rsid w:val="003C6A62"/>
    <w:rsid w:val="003C6E2F"/>
    <w:rsid w:val="003C7CA1"/>
    <w:rsid w:val="003D0090"/>
    <w:rsid w:val="003D03A2"/>
    <w:rsid w:val="003D06AE"/>
    <w:rsid w:val="003D0DEB"/>
    <w:rsid w:val="003D20AA"/>
    <w:rsid w:val="003D220E"/>
    <w:rsid w:val="003D2583"/>
    <w:rsid w:val="003D2640"/>
    <w:rsid w:val="003D2C9D"/>
    <w:rsid w:val="003D36C8"/>
    <w:rsid w:val="003D36F4"/>
    <w:rsid w:val="003D3FF6"/>
    <w:rsid w:val="003D408A"/>
    <w:rsid w:val="003D4A74"/>
    <w:rsid w:val="003D5886"/>
    <w:rsid w:val="003D58F8"/>
    <w:rsid w:val="003D5F7A"/>
    <w:rsid w:val="003D60F9"/>
    <w:rsid w:val="003D692A"/>
    <w:rsid w:val="003D6B29"/>
    <w:rsid w:val="003D6D77"/>
    <w:rsid w:val="003E05A0"/>
    <w:rsid w:val="003E0E00"/>
    <w:rsid w:val="003E104E"/>
    <w:rsid w:val="003E1CA1"/>
    <w:rsid w:val="003E1FB4"/>
    <w:rsid w:val="003E2989"/>
    <w:rsid w:val="003E34BE"/>
    <w:rsid w:val="003E3B0E"/>
    <w:rsid w:val="003E3BCE"/>
    <w:rsid w:val="003E472D"/>
    <w:rsid w:val="003E4A52"/>
    <w:rsid w:val="003E4D7F"/>
    <w:rsid w:val="003E55A0"/>
    <w:rsid w:val="003E5E6B"/>
    <w:rsid w:val="003E6E0B"/>
    <w:rsid w:val="003E78F9"/>
    <w:rsid w:val="003E7D08"/>
    <w:rsid w:val="003F00D7"/>
    <w:rsid w:val="003F0849"/>
    <w:rsid w:val="003F0D81"/>
    <w:rsid w:val="003F122D"/>
    <w:rsid w:val="003F1500"/>
    <w:rsid w:val="003F15F7"/>
    <w:rsid w:val="003F1FE9"/>
    <w:rsid w:val="003F26EC"/>
    <w:rsid w:val="003F2800"/>
    <w:rsid w:val="003F283C"/>
    <w:rsid w:val="003F31F1"/>
    <w:rsid w:val="003F4440"/>
    <w:rsid w:val="003F448D"/>
    <w:rsid w:val="003F4575"/>
    <w:rsid w:val="003F4C90"/>
    <w:rsid w:val="003F4F54"/>
    <w:rsid w:val="003F6E60"/>
    <w:rsid w:val="003F7281"/>
    <w:rsid w:val="003F7558"/>
    <w:rsid w:val="003F77F1"/>
    <w:rsid w:val="003F7FEB"/>
    <w:rsid w:val="00400A84"/>
    <w:rsid w:val="00400D1F"/>
    <w:rsid w:val="00400EDD"/>
    <w:rsid w:val="00401464"/>
    <w:rsid w:val="00401550"/>
    <w:rsid w:val="00401963"/>
    <w:rsid w:val="004019FC"/>
    <w:rsid w:val="00401C8A"/>
    <w:rsid w:val="00401CB0"/>
    <w:rsid w:val="00401D6B"/>
    <w:rsid w:val="00402B8A"/>
    <w:rsid w:val="00402F41"/>
    <w:rsid w:val="00402F7F"/>
    <w:rsid w:val="00403179"/>
    <w:rsid w:val="004031EC"/>
    <w:rsid w:val="0040322B"/>
    <w:rsid w:val="00403CF8"/>
    <w:rsid w:val="004041A5"/>
    <w:rsid w:val="0040426D"/>
    <w:rsid w:val="00405246"/>
    <w:rsid w:val="0040544D"/>
    <w:rsid w:val="0040597E"/>
    <w:rsid w:val="00405EE2"/>
    <w:rsid w:val="0040617C"/>
    <w:rsid w:val="00407DCA"/>
    <w:rsid w:val="00410309"/>
    <w:rsid w:val="004106A4"/>
    <w:rsid w:val="00411F5F"/>
    <w:rsid w:val="004120E0"/>
    <w:rsid w:val="004126E5"/>
    <w:rsid w:val="00412DA4"/>
    <w:rsid w:val="00413F34"/>
    <w:rsid w:val="004140A0"/>
    <w:rsid w:val="004140CE"/>
    <w:rsid w:val="004157C8"/>
    <w:rsid w:val="00415F95"/>
    <w:rsid w:val="00415FEF"/>
    <w:rsid w:val="004164DC"/>
    <w:rsid w:val="004167C9"/>
    <w:rsid w:val="00416847"/>
    <w:rsid w:val="004174AF"/>
    <w:rsid w:val="00417A81"/>
    <w:rsid w:val="00417CDF"/>
    <w:rsid w:val="00417DB2"/>
    <w:rsid w:val="00417E72"/>
    <w:rsid w:val="00420716"/>
    <w:rsid w:val="00420BC0"/>
    <w:rsid w:val="004217BD"/>
    <w:rsid w:val="00421962"/>
    <w:rsid w:val="004227D5"/>
    <w:rsid w:val="00423797"/>
    <w:rsid w:val="00423951"/>
    <w:rsid w:val="00423E58"/>
    <w:rsid w:val="004247E7"/>
    <w:rsid w:val="00424B8B"/>
    <w:rsid w:val="0042530A"/>
    <w:rsid w:val="004267B9"/>
    <w:rsid w:val="00427925"/>
    <w:rsid w:val="00427F02"/>
    <w:rsid w:val="004301C4"/>
    <w:rsid w:val="004304BE"/>
    <w:rsid w:val="004315DA"/>
    <w:rsid w:val="00431D76"/>
    <w:rsid w:val="00431FB7"/>
    <w:rsid w:val="00432246"/>
    <w:rsid w:val="00432974"/>
    <w:rsid w:val="004336DA"/>
    <w:rsid w:val="0043397F"/>
    <w:rsid w:val="004339C6"/>
    <w:rsid w:val="004339CA"/>
    <w:rsid w:val="00434686"/>
    <w:rsid w:val="00434885"/>
    <w:rsid w:val="0043518D"/>
    <w:rsid w:val="00435B1E"/>
    <w:rsid w:val="00435CEC"/>
    <w:rsid w:val="004360D2"/>
    <w:rsid w:val="00436342"/>
    <w:rsid w:val="00436A64"/>
    <w:rsid w:val="00436F35"/>
    <w:rsid w:val="0043783A"/>
    <w:rsid w:val="00437B34"/>
    <w:rsid w:val="00437E9B"/>
    <w:rsid w:val="00440199"/>
    <w:rsid w:val="0044079F"/>
    <w:rsid w:val="00440813"/>
    <w:rsid w:val="00440D9F"/>
    <w:rsid w:val="00440E58"/>
    <w:rsid w:val="00441583"/>
    <w:rsid w:val="004416D4"/>
    <w:rsid w:val="00442659"/>
    <w:rsid w:val="00442E71"/>
    <w:rsid w:val="00442FB4"/>
    <w:rsid w:val="00443125"/>
    <w:rsid w:val="00443483"/>
    <w:rsid w:val="004437B7"/>
    <w:rsid w:val="00444D33"/>
    <w:rsid w:val="00445141"/>
    <w:rsid w:val="00445707"/>
    <w:rsid w:val="00445AFF"/>
    <w:rsid w:val="00445F17"/>
    <w:rsid w:val="00445F63"/>
    <w:rsid w:val="00446768"/>
    <w:rsid w:val="0045067B"/>
    <w:rsid w:val="00450F49"/>
    <w:rsid w:val="0045132D"/>
    <w:rsid w:val="00451B6F"/>
    <w:rsid w:val="00451E64"/>
    <w:rsid w:val="00451FC5"/>
    <w:rsid w:val="0045220F"/>
    <w:rsid w:val="00452568"/>
    <w:rsid w:val="00453631"/>
    <w:rsid w:val="00453BB1"/>
    <w:rsid w:val="00453CD2"/>
    <w:rsid w:val="00454129"/>
    <w:rsid w:val="004549C2"/>
    <w:rsid w:val="00454AC2"/>
    <w:rsid w:val="004555C3"/>
    <w:rsid w:val="00456B66"/>
    <w:rsid w:val="00456B71"/>
    <w:rsid w:val="00457825"/>
    <w:rsid w:val="004578B3"/>
    <w:rsid w:val="00457ED0"/>
    <w:rsid w:val="00460177"/>
    <w:rsid w:val="00460633"/>
    <w:rsid w:val="00460836"/>
    <w:rsid w:val="004610F7"/>
    <w:rsid w:val="00461212"/>
    <w:rsid w:val="00461DC5"/>
    <w:rsid w:val="00461DF4"/>
    <w:rsid w:val="00461E52"/>
    <w:rsid w:val="00461E73"/>
    <w:rsid w:val="0046394F"/>
    <w:rsid w:val="00463AE5"/>
    <w:rsid w:val="004647A3"/>
    <w:rsid w:val="00464FDB"/>
    <w:rsid w:val="00464FFD"/>
    <w:rsid w:val="004657DB"/>
    <w:rsid w:val="00465950"/>
    <w:rsid w:val="00466A67"/>
    <w:rsid w:val="00466DE1"/>
    <w:rsid w:val="004677FC"/>
    <w:rsid w:val="004678C3"/>
    <w:rsid w:val="00467A66"/>
    <w:rsid w:val="00467EF0"/>
    <w:rsid w:val="004700A8"/>
    <w:rsid w:val="004705AB"/>
    <w:rsid w:val="00470EE6"/>
    <w:rsid w:val="0047124D"/>
    <w:rsid w:val="004712DA"/>
    <w:rsid w:val="004716B7"/>
    <w:rsid w:val="004718F6"/>
    <w:rsid w:val="00471AAC"/>
    <w:rsid w:val="00471DE2"/>
    <w:rsid w:val="0047211A"/>
    <w:rsid w:val="00472123"/>
    <w:rsid w:val="00472AE7"/>
    <w:rsid w:val="00473ABE"/>
    <w:rsid w:val="00474927"/>
    <w:rsid w:val="00474B46"/>
    <w:rsid w:val="00474B70"/>
    <w:rsid w:val="00474BE9"/>
    <w:rsid w:val="0047526D"/>
    <w:rsid w:val="004763FE"/>
    <w:rsid w:val="00476E0E"/>
    <w:rsid w:val="0047775E"/>
    <w:rsid w:val="0047781B"/>
    <w:rsid w:val="00480E2A"/>
    <w:rsid w:val="0048118F"/>
    <w:rsid w:val="0048195C"/>
    <w:rsid w:val="00483ED1"/>
    <w:rsid w:val="00484869"/>
    <w:rsid w:val="00485F51"/>
    <w:rsid w:val="00487858"/>
    <w:rsid w:val="00490731"/>
    <w:rsid w:val="00490BE4"/>
    <w:rsid w:val="00492B03"/>
    <w:rsid w:val="004930C3"/>
    <w:rsid w:val="004931A3"/>
    <w:rsid w:val="004936B3"/>
    <w:rsid w:val="00493D0E"/>
    <w:rsid w:val="0049450B"/>
    <w:rsid w:val="00494749"/>
    <w:rsid w:val="00495119"/>
    <w:rsid w:val="00495452"/>
    <w:rsid w:val="00495DFC"/>
    <w:rsid w:val="004960A0"/>
    <w:rsid w:val="00496481"/>
    <w:rsid w:val="004967A0"/>
    <w:rsid w:val="004967C4"/>
    <w:rsid w:val="00496AC1"/>
    <w:rsid w:val="00496B16"/>
    <w:rsid w:val="00497777"/>
    <w:rsid w:val="00497B27"/>
    <w:rsid w:val="00497F1E"/>
    <w:rsid w:val="004A1542"/>
    <w:rsid w:val="004A28FC"/>
    <w:rsid w:val="004A2D9A"/>
    <w:rsid w:val="004A2F60"/>
    <w:rsid w:val="004A345E"/>
    <w:rsid w:val="004A3AD6"/>
    <w:rsid w:val="004A446B"/>
    <w:rsid w:val="004A495F"/>
    <w:rsid w:val="004A4ACB"/>
    <w:rsid w:val="004A4BBE"/>
    <w:rsid w:val="004A52F7"/>
    <w:rsid w:val="004A5F21"/>
    <w:rsid w:val="004A6180"/>
    <w:rsid w:val="004A61C1"/>
    <w:rsid w:val="004A71B9"/>
    <w:rsid w:val="004A72AF"/>
    <w:rsid w:val="004A77A7"/>
    <w:rsid w:val="004A7B7F"/>
    <w:rsid w:val="004A7F91"/>
    <w:rsid w:val="004B0160"/>
    <w:rsid w:val="004B022A"/>
    <w:rsid w:val="004B0517"/>
    <w:rsid w:val="004B06F3"/>
    <w:rsid w:val="004B20C4"/>
    <w:rsid w:val="004B2527"/>
    <w:rsid w:val="004B3962"/>
    <w:rsid w:val="004B42BA"/>
    <w:rsid w:val="004B42E8"/>
    <w:rsid w:val="004B4499"/>
    <w:rsid w:val="004B45B4"/>
    <w:rsid w:val="004B4965"/>
    <w:rsid w:val="004B4F89"/>
    <w:rsid w:val="004B552F"/>
    <w:rsid w:val="004B5C63"/>
    <w:rsid w:val="004B60F9"/>
    <w:rsid w:val="004B6BD1"/>
    <w:rsid w:val="004B7515"/>
    <w:rsid w:val="004B76D5"/>
    <w:rsid w:val="004B7838"/>
    <w:rsid w:val="004B7AF8"/>
    <w:rsid w:val="004B7C68"/>
    <w:rsid w:val="004B7C6D"/>
    <w:rsid w:val="004B7D38"/>
    <w:rsid w:val="004C0217"/>
    <w:rsid w:val="004C03B0"/>
    <w:rsid w:val="004C1D27"/>
    <w:rsid w:val="004C25A4"/>
    <w:rsid w:val="004C28A3"/>
    <w:rsid w:val="004C2B17"/>
    <w:rsid w:val="004C2E74"/>
    <w:rsid w:val="004C355F"/>
    <w:rsid w:val="004C392F"/>
    <w:rsid w:val="004C3C33"/>
    <w:rsid w:val="004C43B0"/>
    <w:rsid w:val="004C44FF"/>
    <w:rsid w:val="004C45E0"/>
    <w:rsid w:val="004C4F8C"/>
    <w:rsid w:val="004C5967"/>
    <w:rsid w:val="004C5C07"/>
    <w:rsid w:val="004C5F5C"/>
    <w:rsid w:val="004C6093"/>
    <w:rsid w:val="004C6CB2"/>
    <w:rsid w:val="004C7BAE"/>
    <w:rsid w:val="004C7E62"/>
    <w:rsid w:val="004C7ED9"/>
    <w:rsid w:val="004D0E66"/>
    <w:rsid w:val="004D17B0"/>
    <w:rsid w:val="004D2082"/>
    <w:rsid w:val="004D22AC"/>
    <w:rsid w:val="004D2B08"/>
    <w:rsid w:val="004D2B81"/>
    <w:rsid w:val="004D347E"/>
    <w:rsid w:val="004D3761"/>
    <w:rsid w:val="004D37D1"/>
    <w:rsid w:val="004D3AA2"/>
    <w:rsid w:val="004D3CA6"/>
    <w:rsid w:val="004D3DD4"/>
    <w:rsid w:val="004D3DEC"/>
    <w:rsid w:val="004D44A6"/>
    <w:rsid w:val="004D45AD"/>
    <w:rsid w:val="004D484E"/>
    <w:rsid w:val="004D51F1"/>
    <w:rsid w:val="004D5905"/>
    <w:rsid w:val="004D5A46"/>
    <w:rsid w:val="004D5D06"/>
    <w:rsid w:val="004D61A9"/>
    <w:rsid w:val="004D61BD"/>
    <w:rsid w:val="004D6674"/>
    <w:rsid w:val="004D670D"/>
    <w:rsid w:val="004D6757"/>
    <w:rsid w:val="004D6DB9"/>
    <w:rsid w:val="004D75D7"/>
    <w:rsid w:val="004E0572"/>
    <w:rsid w:val="004E064C"/>
    <w:rsid w:val="004E09A0"/>
    <w:rsid w:val="004E1191"/>
    <w:rsid w:val="004E1629"/>
    <w:rsid w:val="004E1BFA"/>
    <w:rsid w:val="004E26D8"/>
    <w:rsid w:val="004E2B05"/>
    <w:rsid w:val="004E34EB"/>
    <w:rsid w:val="004E383E"/>
    <w:rsid w:val="004E3E5A"/>
    <w:rsid w:val="004E43BC"/>
    <w:rsid w:val="004E4BE0"/>
    <w:rsid w:val="004E4D20"/>
    <w:rsid w:val="004E57B5"/>
    <w:rsid w:val="004E5CD7"/>
    <w:rsid w:val="004E6090"/>
    <w:rsid w:val="004E6170"/>
    <w:rsid w:val="004E644E"/>
    <w:rsid w:val="004E6F78"/>
    <w:rsid w:val="004E7FAF"/>
    <w:rsid w:val="004F08D5"/>
    <w:rsid w:val="004F0BAB"/>
    <w:rsid w:val="004F0D96"/>
    <w:rsid w:val="004F1633"/>
    <w:rsid w:val="004F1936"/>
    <w:rsid w:val="004F2958"/>
    <w:rsid w:val="004F2BE1"/>
    <w:rsid w:val="004F4B68"/>
    <w:rsid w:val="004F4D2B"/>
    <w:rsid w:val="004F5587"/>
    <w:rsid w:val="004F570E"/>
    <w:rsid w:val="004F5800"/>
    <w:rsid w:val="004F5A9A"/>
    <w:rsid w:val="004F5FDE"/>
    <w:rsid w:val="004F73F7"/>
    <w:rsid w:val="004F7E80"/>
    <w:rsid w:val="0050091D"/>
    <w:rsid w:val="00500C9A"/>
    <w:rsid w:val="005013A9"/>
    <w:rsid w:val="005025B1"/>
    <w:rsid w:val="00504D18"/>
    <w:rsid w:val="00504FBC"/>
    <w:rsid w:val="005051EE"/>
    <w:rsid w:val="0050538D"/>
    <w:rsid w:val="0050543D"/>
    <w:rsid w:val="00505684"/>
    <w:rsid w:val="0050640F"/>
    <w:rsid w:val="005069CF"/>
    <w:rsid w:val="00506C83"/>
    <w:rsid w:val="0051068D"/>
    <w:rsid w:val="00510BA7"/>
    <w:rsid w:val="00511227"/>
    <w:rsid w:val="00511505"/>
    <w:rsid w:val="00512389"/>
    <w:rsid w:val="00512ABF"/>
    <w:rsid w:val="0051415C"/>
    <w:rsid w:val="0051415D"/>
    <w:rsid w:val="0051488E"/>
    <w:rsid w:val="00515430"/>
    <w:rsid w:val="00515691"/>
    <w:rsid w:val="00515B9D"/>
    <w:rsid w:val="00516542"/>
    <w:rsid w:val="00516592"/>
    <w:rsid w:val="00516832"/>
    <w:rsid w:val="005170B4"/>
    <w:rsid w:val="00517EC3"/>
    <w:rsid w:val="00517F88"/>
    <w:rsid w:val="0052010C"/>
    <w:rsid w:val="005210FF"/>
    <w:rsid w:val="005211CD"/>
    <w:rsid w:val="00521E7E"/>
    <w:rsid w:val="00523664"/>
    <w:rsid w:val="00523676"/>
    <w:rsid w:val="005236DB"/>
    <w:rsid w:val="00523970"/>
    <w:rsid w:val="00524D7F"/>
    <w:rsid w:val="00525B4F"/>
    <w:rsid w:val="005261C1"/>
    <w:rsid w:val="0052696F"/>
    <w:rsid w:val="00526989"/>
    <w:rsid w:val="0052702F"/>
    <w:rsid w:val="0052756C"/>
    <w:rsid w:val="00527FFB"/>
    <w:rsid w:val="00530738"/>
    <w:rsid w:val="005312B3"/>
    <w:rsid w:val="00531819"/>
    <w:rsid w:val="00531E29"/>
    <w:rsid w:val="00532354"/>
    <w:rsid w:val="0053245F"/>
    <w:rsid w:val="005324EF"/>
    <w:rsid w:val="00532846"/>
    <w:rsid w:val="00532F55"/>
    <w:rsid w:val="00532FBD"/>
    <w:rsid w:val="00535107"/>
    <w:rsid w:val="005356A1"/>
    <w:rsid w:val="00535E80"/>
    <w:rsid w:val="00536473"/>
    <w:rsid w:val="005368B7"/>
    <w:rsid w:val="00537192"/>
    <w:rsid w:val="00537413"/>
    <w:rsid w:val="005375B7"/>
    <w:rsid w:val="00537D04"/>
    <w:rsid w:val="0054192A"/>
    <w:rsid w:val="00541F8A"/>
    <w:rsid w:val="00542852"/>
    <w:rsid w:val="00542BA2"/>
    <w:rsid w:val="005432FB"/>
    <w:rsid w:val="00543326"/>
    <w:rsid w:val="00543606"/>
    <w:rsid w:val="00543681"/>
    <w:rsid w:val="0054457C"/>
    <w:rsid w:val="0054460F"/>
    <w:rsid w:val="00544936"/>
    <w:rsid w:val="00544E99"/>
    <w:rsid w:val="00544F5C"/>
    <w:rsid w:val="00545C8A"/>
    <w:rsid w:val="00545CEC"/>
    <w:rsid w:val="00545F72"/>
    <w:rsid w:val="00546EE1"/>
    <w:rsid w:val="00546F5A"/>
    <w:rsid w:val="00547417"/>
    <w:rsid w:val="00547752"/>
    <w:rsid w:val="005479A4"/>
    <w:rsid w:val="00547A1D"/>
    <w:rsid w:val="00547F54"/>
    <w:rsid w:val="00547F95"/>
    <w:rsid w:val="0055074B"/>
    <w:rsid w:val="00552136"/>
    <w:rsid w:val="00552700"/>
    <w:rsid w:val="00552B72"/>
    <w:rsid w:val="00552E3B"/>
    <w:rsid w:val="00553811"/>
    <w:rsid w:val="00553A23"/>
    <w:rsid w:val="005541AD"/>
    <w:rsid w:val="00554A9F"/>
    <w:rsid w:val="00555DB9"/>
    <w:rsid w:val="00556335"/>
    <w:rsid w:val="0055646D"/>
    <w:rsid w:val="00556BD1"/>
    <w:rsid w:val="00557384"/>
    <w:rsid w:val="00557CBC"/>
    <w:rsid w:val="00557E56"/>
    <w:rsid w:val="00560151"/>
    <w:rsid w:val="005609B7"/>
    <w:rsid w:val="00561A78"/>
    <w:rsid w:val="00561B4A"/>
    <w:rsid w:val="005621DD"/>
    <w:rsid w:val="00562452"/>
    <w:rsid w:val="0056298E"/>
    <w:rsid w:val="00562C73"/>
    <w:rsid w:val="005650D4"/>
    <w:rsid w:val="0056548C"/>
    <w:rsid w:val="0056662C"/>
    <w:rsid w:val="00566998"/>
    <w:rsid w:val="00566BFA"/>
    <w:rsid w:val="00566D47"/>
    <w:rsid w:val="005672CF"/>
    <w:rsid w:val="00567564"/>
    <w:rsid w:val="00570487"/>
    <w:rsid w:val="0057075A"/>
    <w:rsid w:val="00570828"/>
    <w:rsid w:val="00571659"/>
    <w:rsid w:val="00571BC1"/>
    <w:rsid w:val="00571CD2"/>
    <w:rsid w:val="0057250E"/>
    <w:rsid w:val="0057252D"/>
    <w:rsid w:val="00572613"/>
    <w:rsid w:val="00572B0C"/>
    <w:rsid w:val="00572CF5"/>
    <w:rsid w:val="0057398D"/>
    <w:rsid w:val="005739E4"/>
    <w:rsid w:val="00573B2A"/>
    <w:rsid w:val="00573ED6"/>
    <w:rsid w:val="005740EB"/>
    <w:rsid w:val="00574139"/>
    <w:rsid w:val="005747CE"/>
    <w:rsid w:val="00574FB9"/>
    <w:rsid w:val="00575995"/>
    <w:rsid w:val="00575B75"/>
    <w:rsid w:val="00575BA6"/>
    <w:rsid w:val="00575F5A"/>
    <w:rsid w:val="00575FA2"/>
    <w:rsid w:val="00576931"/>
    <w:rsid w:val="00576A75"/>
    <w:rsid w:val="00576B26"/>
    <w:rsid w:val="0057737E"/>
    <w:rsid w:val="0057753E"/>
    <w:rsid w:val="00580350"/>
    <w:rsid w:val="0058038E"/>
    <w:rsid w:val="00580697"/>
    <w:rsid w:val="0058138E"/>
    <w:rsid w:val="00581805"/>
    <w:rsid w:val="005836C5"/>
    <w:rsid w:val="00583728"/>
    <w:rsid w:val="00584FA6"/>
    <w:rsid w:val="00585032"/>
    <w:rsid w:val="00585660"/>
    <w:rsid w:val="00585BDE"/>
    <w:rsid w:val="00585CA5"/>
    <w:rsid w:val="00585EE4"/>
    <w:rsid w:val="0058623C"/>
    <w:rsid w:val="005863DA"/>
    <w:rsid w:val="0058691D"/>
    <w:rsid w:val="005870B8"/>
    <w:rsid w:val="00587152"/>
    <w:rsid w:val="00587FC0"/>
    <w:rsid w:val="0059043D"/>
    <w:rsid w:val="005906A4"/>
    <w:rsid w:val="00590B34"/>
    <w:rsid w:val="00590F9E"/>
    <w:rsid w:val="005911E2"/>
    <w:rsid w:val="005912DF"/>
    <w:rsid w:val="005912EA"/>
    <w:rsid w:val="00591778"/>
    <w:rsid w:val="00592043"/>
    <w:rsid w:val="005934B6"/>
    <w:rsid w:val="00593586"/>
    <w:rsid w:val="005935A4"/>
    <w:rsid w:val="005937AA"/>
    <w:rsid w:val="005954BF"/>
    <w:rsid w:val="00595E8E"/>
    <w:rsid w:val="00595FAA"/>
    <w:rsid w:val="00596D9E"/>
    <w:rsid w:val="00596FC2"/>
    <w:rsid w:val="00597813"/>
    <w:rsid w:val="00597836"/>
    <w:rsid w:val="00597A6F"/>
    <w:rsid w:val="005A010B"/>
    <w:rsid w:val="005A071B"/>
    <w:rsid w:val="005A0783"/>
    <w:rsid w:val="005A106E"/>
    <w:rsid w:val="005A11A1"/>
    <w:rsid w:val="005A1EF0"/>
    <w:rsid w:val="005A2009"/>
    <w:rsid w:val="005A2E39"/>
    <w:rsid w:val="005A325A"/>
    <w:rsid w:val="005A33DD"/>
    <w:rsid w:val="005A42AF"/>
    <w:rsid w:val="005A470B"/>
    <w:rsid w:val="005A4BDB"/>
    <w:rsid w:val="005A572E"/>
    <w:rsid w:val="005A6561"/>
    <w:rsid w:val="005A741A"/>
    <w:rsid w:val="005B0C37"/>
    <w:rsid w:val="005B111B"/>
    <w:rsid w:val="005B1221"/>
    <w:rsid w:val="005B13D2"/>
    <w:rsid w:val="005B1938"/>
    <w:rsid w:val="005B1EF9"/>
    <w:rsid w:val="005B2B83"/>
    <w:rsid w:val="005B310A"/>
    <w:rsid w:val="005B4426"/>
    <w:rsid w:val="005B4D4C"/>
    <w:rsid w:val="005B6867"/>
    <w:rsid w:val="005B690A"/>
    <w:rsid w:val="005C0507"/>
    <w:rsid w:val="005C117F"/>
    <w:rsid w:val="005C17D5"/>
    <w:rsid w:val="005C1D32"/>
    <w:rsid w:val="005C22FF"/>
    <w:rsid w:val="005C2FC8"/>
    <w:rsid w:val="005C2FDC"/>
    <w:rsid w:val="005C383E"/>
    <w:rsid w:val="005C4268"/>
    <w:rsid w:val="005C504D"/>
    <w:rsid w:val="005C5767"/>
    <w:rsid w:val="005C5789"/>
    <w:rsid w:val="005C69E2"/>
    <w:rsid w:val="005C7125"/>
    <w:rsid w:val="005C7291"/>
    <w:rsid w:val="005C7B5F"/>
    <w:rsid w:val="005C7C40"/>
    <w:rsid w:val="005D00C7"/>
    <w:rsid w:val="005D05A3"/>
    <w:rsid w:val="005D0662"/>
    <w:rsid w:val="005D0756"/>
    <w:rsid w:val="005D0AD8"/>
    <w:rsid w:val="005D0D58"/>
    <w:rsid w:val="005D1C95"/>
    <w:rsid w:val="005D2E7B"/>
    <w:rsid w:val="005D2FEB"/>
    <w:rsid w:val="005D32A8"/>
    <w:rsid w:val="005D33BC"/>
    <w:rsid w:val="005D35F3"/>
    <w:rsid w:val="005D44B1"/>
    <w:rsid w:val="005D479D"/>
    <w:rsid w:val="005D47F2"/>
    <w:rsid w:val="005D55BF"/>
    <w:rsid w:val="005D5E52"/>
    <w:rsid w:val="005D61E8"/>
    <w:rsid w:val="005D68B6"/>
    <w:rsid w:val="005D6E06"/>
    <w:rsid w:val="005D6E93"/>
    <w:rsid w:val="005D7151"/>
    <w:rsid w:val="005E1017"/>
    <w:rsid w:val="005E113F"/>
    <w:rsid w:val="005E17BD"/>
    <w:rsid w:val="005E1845"/>
    <w:rsid w:val="005E1966"/>
    <w:rsid w:val="005E277A"/>
    <w:rsid w:val="005E35EF"/>
    <w:rsid w:val="005E3A1D"/>
    <w:rsid w:val="005E3C06"/>
    <w:rsid w:val="005E41E1"/>
    <w:rsid w:val="005E4A68"/>
    <w:rsid w:val="005E4B15"/>
    <w:rsid w:val="005E50A9"/>
    <w:rsid w:val="005E5552"/>
    <w:rsid w:val="005E57F9"/>
    <w:rsid w:val="005E5923"/>
    <w:rsid w:val="005E5DB4"/>
    <w:rsid w:val="005E5DE2"/>
    <w:rsid w:val="005E6509"/>
    <w:rsid w:val="005E6EF7"/>
    <w:rsid w:val="005E706C"/>
    <w:rsid w:val="005E7A69"/>
    <w:rsid w:val="005E7B82"/>
    <w:rsid w:val="005F0644"/>
    <w:rsid w:val="005F1422"/>
    <w:rsid w:val="005F18B6"/>
    <w:rsid w:val="005F1EAC"/>
    <w:rsid w:val="005F27A5"/>
    <w:rsid w:val="005F32AF"/>
    <w:rsid w:val="005F366C"/>
    <w:rsid w:val="005F44A5"/>
    <w:rsid w:val="005F45AD"/>
    <w:rsid w:val="005F4842"/>
    <w:rsid w:val="005F48DC"/>
    <w:rsid w:val="005F4FF0"/>
    <w:rsid w:val="005F5001"/>
    <w:rsid w:val="005F520B"/>
    <w:rsid w:val="005F5965"/>
    <w:rsid w:val="005F5C92"/>
    <w:rsid w:val="005F6E7F"/>
    <w:rsid w:val="005F7000"/>
    <w:rsid w:val="005F72D8"/>
    <w:rsid w:val="005F7D4E"/>
    <w:rsid w:val="00600546"/>
    <w:rsid w:val="006008EE"/>
    <w:rsid w:val="00600C85"/>
    <w:rsid w:val="0060132B"/>
    <w:rsid w:val="006016D5"/>
    <w:rsid w:val="006020D6"/>
    <w:rsid w:val="006028B9"/>
    <w:rsid w:val="00602B3D"/>
    <w:rsid w:val="00604010"/>
    <w:rsid w:val="006046C2"/>
    <w:rsid w:val="00604834"/>
    <w:rsid w:val="00604C8D"/>
    <w:rsid w:val="0060514B"/>
    <w:rsid w:val="0060547E"/>
    <w:rsid w:val="006060CC"/>
    <w:rsid w:val="006069ED"/>
    <w:rsid w:val="00606A9B"/>
    <w:rsid w:val="00606ACC"/>
    <w:rsid w:val="00607409"/>
    <w:rsid w:val="00607667"/>
    <w:rsid w:val="006078E8"/>
    <w:rsid w:val="00607B0A"/>
    <w:rsid w:val="00607D14"/>
    <w:rsid w:val="006101EE"/>
    <w:rsid w:val="00610352"/>
    <w:rsid w:val="006125F1"/>
    <w:rsid w:val="00613361"/>
    <w:rsid w:val="00613457"/>
    <w:rsid w:val="00613FAF"/>
    <w:rsid w:val="0061403F"/>
    <w:rsid w:val="006145B7"/>
    <w:rsid w:val="00615090"/>
    <w:rsid w:val="00615A66"/>
    <w:rsid w:val="00615E2F"/>
    <w:rsid w:val="0061663F"/>
    <w:rsid w:val="00616904"/>
    <w:rsid w:val="00616DD0"/>
    <w:rsid w:val="00616DFB"/>
    <w:rsid w:val="006170F3"/>
    <w:rsid w:val="00617D3E"/>
    <w:rsid w:val="00617F57"/>
    <w:rsid w:val="0062024B"/>
    <w:rsid w:val="006202BD"/>
    <w:rsid w:val="006202F3"/>
    <w:rsid w:val="0062045A"/>
    <w:rsid w:val="00621F73"/>
    <w:rsid w:val="00622AAC"/>
    <w:rsid w:val="006232CB"/>
    <w:rsid w:val="00624EB4"/>
    <w:rsid w:val="0062548B"/>
    <w:rsid w:val="00625926"/>
    <w:rsid w:val="006267EC"/>
    <w:rsid w:val="00626F8C"/>
    <w:rsid w:val="0062779A"/>
    <w:rsid w:val="00627FB3"/>
    <w:rsid w:val="006306B2"/>
    <w:rsid w:val="0063199C"/>
    <w:rsid w:val="00631CAF"/>
    <w:rsid w:val="00631E66"/>
    <w:rsid w:val="00631EE0"/>
    <w:rsid w:val="006329B5"/>
    <w:rsid w:val="00632E24"/>
    <w:rsid w:val="00632FF6"/>
    <w:rsid w:val="0063305B"/>
    <w:rsid w:val="00633197"/>
    <w:rsid w:val="00633256"/>
    <w:rsid w:val="0063385B"/>
    <w:rsid w:val="006343B0"/>
    <w:rsid w:val="00634EF7"/>
    <w:rsid w:val="00635DC2"/>
    <w:rsid w:val="006364BA"/>
    <w:rsid w:val="00636BE9"/>
    <w:rsid w:val="006376E6"/>
    <w:rsid w:val="00637A85"/>
    <w:rsid w:val="00637CFA"/>
    <w:rsid w:val="006404AB"/>
    <w:rsid w:val="00640870"/>
    <w:rsid w:val="006408AD"/>
    <w:rsid w:val="006409ED"/>
    <w:rsid w:val="00640A5B"/>
    <w:rsid w:val="00640CE2"/>
    <w:rsid w:val="00641066"/>
    <w:rsid w:val="006416F6"/>
    <w:rsid w:val="006417A5"/>
    <w:rsid w:val="00641FFD"/>
    <w:rsid w:val="00642041"/>
    <w:rsid w:val="006425E8"/>
    <w:rsid w:val="00642BF4"/>
    <w:rsid w:val="0064305D"/>
    <w:rsid w:val="00643D18"/>
    <w:rsid w:val="00645075"/>
    <w:rsid w:val="006450E2"/>
    <w:rsid w:val="006451E3"/>
    <w:rsid w:val="00646727"/>
    <w:rsid w:val="00647420"/>
    <w:rsid w:val="0064784D"/>
    <w:rsid w:val="00650883"/>
    <w:rsid w:val="00650E3E"/>
    <w:rsid w:val="00651147"/>
    <w:rsid w:val="00651FBB"/>
    <w:rsid w:val="00652022"/>
    <w:rsid w:val="00652187"/>
    <w:rsid w:val="00652346"/>
    <w:rsid w:val="0065234B"/>
    <w:rsid w:val="00652D1E"/>
    <w:rsid w:val="00653067"/>
    <w:rsid w:val="00654180"/>
    <w:rsid w:val="00654649"/>
    <w:rsid w:val="00654744"/>
    <w:rsid w:val="00655078"/>
    <w:rsid w:val="00656231"/>
    <w:rsid w:val="0065663D"/>
    <w:rsid w:val="00656802"/>
    <w:rsid w:val="0065693B"/>
    <w:rsid w:val="00656B34"/>
    <w:rsid w:val="00656E56"/>
    <w:rsid w:val="006601A0"/>
    <w:rsid w:val="006603A2"/>
    <w:rsid w:val="00660C06"/>
    <w:rsid w:val="00660F76"/>
    <w:rsid w:val="0066152F"/>
    <w:rsid w:val="00661923"/>
    <w:rsid w:val="00661DD0"/>
    <w:rsid w:val="00662052"/>
    <w:rsid w:val="006621BA"/>
    <w:rsid w:val="006623F7"/>
    <w:rsid w:val="00662F77"/>
    <w:rsid w:val="00663105"/>
    <w:rsid w:val="006634FF"/>
    <w:rsid w:val="006638C2"/>
    <w:rsid w:val="00663B0B"/>
    <w:rsid w:val="00664185"/>
    <w:rsid w:val="00664392"/>
    <w:rsid w:val="006648AF"/>
    <w:rsid w:val="00664ACF"/>
    <w:rsid w:val="00664AE6"/>
    <w:rsid w:val="00664E2F"/>
    <w:rsid w:val="00665899"/>
    <w:rsid w:val="00665970"/>
    <w:rsid w:val="00665BBE"/>
    <w:rsid w:val="006660A0"/>
    <w:rsid w:val="0067030D"/>
    <w:rsid w:val="006707AB"/>
    <w:rsid w:val="006709D9"/>
    <w:rsid w:val="00670D25"/>
    <w:rsid w:val="00670E39"/>
    <w:rsid w:val="006711BE"/>
    <w:rsid w:val="00671399"/>
    <w:rsid w:val="0067152B"/>
    <w:rsid w:val="00671866"/>
    <w:rsid w:val="00671ADA"/>
    <w:rsid w:val="006724A0"/>
    <w:rsid w:val="00672902"/>
    <w:rsid w:val="006730DA"/>
    <w:rsid w:val="00673708"/>
    <w:rsid w:val="00674AD4"/>
    <w:rsid w:val="00674D75"/>
    <w:rsid w:val="006753A4"/>
    <w:rsid w:val="006753DD"/>
    <w:rsid w:val="00675EC6"/>
    <w:rsid w:val="00676068"/>
    <w:rsid w:val="00676775"/>
    <w:rsid w:val="006777E6"/>
    <w:rsid w:val="00680499"/>
    <w:rsid w:val="0068089F"/>
    <w:rsid w:val="00680A4B"/>
    <w:rsid w:val="00680F10"/>
    <w:rsid w:val="00680FFD"/>
    <w:rsid w:val="006819AF"/>
    <w:rsid w:val="00681C3F"/>
    <w:rsid w:val="00681E07"/>
    <w:rsid w:val="00681FBC"/>
    <w:rsid w:val="006825AB"/>
    <w:rsid w:val="0068398F"/>
    <w:rsid w:val="00683DD9"/>
    <w:rsid w:val="00684AA4"/>
    <w:rsid w:val="00684CAD"/>
    <w:rsid w:val="00684F03"/>
    <w:rsid w:val="00684F78"/>
    <w:rsid w:val="00684FA6"/>
    <w:rsid w:val="00684FE9"/>
    <w:rsid w:val="00685921"/>
    <w:rsid w:val="00685B5E"/>
    <w:rsid w:val="00685D5F"/>
    <w:rsid w:val="00686952"/>
    <w:rsid w:val="00687A58"/>
    <w:rsid w:val="00687AC6"/>
    <w:rsid w:val="00687D75"/>
    <w:rsid w:val="0069076F"/>
    <w:rsid w:val="00690EB2"/>
    <w:rsid w:val="00690F14"/>
    <w:rsid w:val="006916A0"/>
    <w:rsid w:val="006917E7"/>
    <w:rsid w:val="006924AB"/>
    <w:rsid w:val="00692A35"/>
    <w:rsid w:val="00692BBB"/>
    <w:rsid w:val="00692D72"/>
    <w:rsid w:val="00692E2C"/>
    <w:rsid w:val="00692E51"/>
    <w:rsid w:val="006939A2"/>
    <w:rsid w:val="00693E57"/>
    <w:rsid w:val="00693F6E"/>
    <w:rsid w:val="006947E0"/>
    <w:rsid w:val="00694C3D"/>
    <w:rsid w:val="0069517E"/>
    <w:rsid w:val="0069524C"/>
    <w:rsid w:val="00696A91"/>
    <w:rsid w:val="00696AC1"/>
    <w:rsid w:val="00696EA2"/>
    <w:rsid w:val="0069718B"/>
    <w:rsid w:val="00697D2D"/>
    <w:rsid w:val="006A0069"/>
    <w:rsid w:val="006A0674"/>
    <w:rsid w:val="006A099C"/>
    <w:rsid w:val="006A0B52"/>
    <w:rsid w:val="006A0EA6"/>
    <w:rsid w:val="006A1211"/>
    <w:rsid w:val="006A1235"/>
    <w:rsid w:val="006A26F1"/>
    <w:rsid w:val="006A3968"/>
    <w:rsid w:val="006A3E5F"/>
    <w:rsid w:val="006A4101"/>
    <w:rsid w:val="006A440F"/>
    <w:rsid w:val="006A456C"/>
    <w:rsid w:val="006A45E0"/>
    <w:rsid w:val="006A4B47"/>
    <w:rsid w:val="006A525F"/>
    <w:rsid w:val="006A5BBF"/>
    <w:rsid w:val="006A5CB3"/>
    <w:rsid w:val="006A5EB7"/>
    <w:rsid w:val="006A5F5A"/>
    <w:rsid w:val="006A7374"/>
    <w:rsid w:val="006A7B06"/>
    <w:rsid w:val="006B1AC9"/>
    <w:rsid w:val="006B247C"/>
    <w:rsid w:val="006B29C9"/>
    <w:rsid w:val="006B35B3"/>
    <w:rsid w:val="006B49F2"/>
    <w:rsid w:val="006B4D54"/>
    <w:rsid w:val="006B4E65"/>
    <w:rsid w:val="006B5D70"/>
    <w:rsid w:val="006B6C42"/>
    <w:rsid w:val="006C024F"/>
    <w:rsid w:val="006C0357"/>
    <w:rsid w:val="006C0D05"/>
    <w:rsid w:val="006C12A2"/>
    <w:rsid w:val="006C171D"/>
    <w:rsid w:val="006C1BAC"/>
    <w:rsid w:val="006C1E60"/>
    <w:rsid w:val="006C2430"/>
    <w:rsid w:val="006C2457"/>
    <w:rsid w:val="006C24E6"/>
    <w:rsid w:val="006C3328"/>
    <w:rsid w:val="006C346F"/>
    <w:rsid w:val="006C3BD9"/>
    <w:rsid w:val="006C3F53"/>
    <w:rsid w:val="006C4D0B"/>
    <w:rsid w:val="006C4D2B"/>
    <w:rsid w:val="006C585A"/>
    <w:rsid w:val="006C686B"/>
    <w:rsid w:val="006C69E6"/>
    <w:rsid w:val="006C6C37"/>
    <w:rsid w:val="006C6E27"/>
    <w:rsid w:val="006C7081"/>
    <w:rsid w:val="006D07E8"/>
    <w:rsid w:val="006D11E5"/>
    <w:rsid w:val="006D250D"/>
    <w:rsid w:val="006D2A2A"/>
    <w:rsid w:val="006D2FE4"/>
    <w:rsid w:val="006D3FB3"/>
    <w:rsid w:val="006D4CBC"/>
    <w:rsid w:val="006D5071"/>
    <w:rsid w:val="006D5220"/>
    <w:rsid w:val="006D593A"/>
    <w:rsid w:val="006D5C3B"/>
    <w:rsid w:val="006D5FEA"/>
    <w:rsid w:val="006D6349"/>
    <w:rsid w:val="006D64CC"/>
    <w:rsid w:val="006D66CF"/>
    <w:rsid w:val="006D6B53"/>
    <w:rsid w:val="006D6E56"/>
    <w:rsid w:val="006D7583"/>
    <w:rsid w:val="006E0411"/>
    <w:rsid w:val="006E07C4"/>
    <w:rsid w:val="006E086C"/>
    <w:rsid w:val="006E0D63"/>
    <w:rsid w:val="006E112C"/>
    <w:rsid w:val="006E2430"/>
    <w:rsid w:val="006E31CD"/>
    <w:rsid w:val="006E323B"/>
    <w:rsid w:val="006E33FC"/>
    <w:rsid w:val="006E345D"/>
    <w:rsid w:val="006E3549"/>
    <w:rsid w:val="006E3953"/>
    <w:rsid w:val="006E3FB1"/>
    <w:rsid w:val="006E44BA"/>
    <w:rsid w:val="006E4A40"/>
    <w:rsid w:val="006E4D73"/>
    <w:rsid w:val="006E5178"/>
    <w:rsid w:val="006E5AA8"/>
    <w:rsid w:val="006E5F1B"/>
    <w:rsid w:val="006E6888"/>
    <w:rsid w:val="006E6BBE"/>
    <w:rsid w:val="006F0868"/>
    <w:rsid w:val="006F1CEF"/>
    <w:rsid w:val="006F1F77"/>
    <w:rsid w:val="006F2408"/>
    <w:rsid w:val="006F2B5C"/>
    <w:rsid w:val="006F2D3F"/>
    <w:rsid w:val="006F30F8"/>
    <w:rsid w:val="006F37A3"/>
    <w:rsid w:val="006F3D90"/>
    <w:rsid w:val="006F3FE7"/>
    <w:rsid w:val="006F4127"/>
    <w:rsid w:val="006F52DA"/>
    <w:rsid w:val="006F60C3"/>
    <w:rsid w:val="006F617A"/>
    <w:rsid w:val="006F6728"/>
    <w:rsid w:val="006F7200"/>
    <w:rsid w:val="006F72D0"/>
    <w:rsid w:val="006F7D86"/>
    <w:rsid w:val="00700259"/>
    <w:rsid w:val="00700974"/>
    <w:rsid w:val="00700B85"/>
    <w:rsid w:val="007016F2"/>
    <w:rsid w:val="0070182D"/>
    <w:rsid w:val="007019B2"/>
    <w:rsid w:val="00701CFD"/>
    <w:rsid w:val="0070202A"/>
    <w:rsid w:val="0070290E"/>
    <w:rsid w:val="0070319F"/>
    <w:rsid w:val="007035D6"/>
    <w:rsid w:val="00703937"/>
    <w:rsid w:val="007042A2"/>
    <w:rsid w:val="00705286"/>
    <w:rsid w:val="007052D2"/>
    <w:rsid w:val="00705338"/>
    <w:rsid w:val="00705A5B"/>
    <w:rsid w:val="00706EBD"/>
    <w:rsid w:val="00707002"/>
    <w:rsid w:val="00707618"/>
    <w:rsid w:val="0070769C"/>
    <w:rsid w:val="007102AA"/>
    <w:rsid w:val="007103D7"/>
    <w:rsid w:val="00710B73"/>
    <w:rsid w:val="00710CD2"/>
    <w:rsid w:val="0071120E"/>
    <w:rsid w:val="00711796"/>
    <w:rsid w:val="007119A2"/>
    <w:rsid w:val="00711E19"/>
    <w:rsid w:val="00712091"/>
    <w:rsid w:val="007120CC"/>
    <w:rsid w:val="00712590"/>
    <w:rsid w:val="0071295C"/>
    <w:rsid w:val="00713231"/>
    <w:rsid w:val="0071342D"/>
    <w:rsid w:val="007135CE"/>
    <w:rsid w:val="00713A93"/>
    <w:rsid w:val="00714190"/>
    <w:rsid w:val="007143C1"/>
    <w:rsid w:val="00714ADA"/>
    <w:rsid w:val="00715EBE"/>
    <w:rsid w:val="007163EB"/>
    <w:rsid w:val="007165F0"/>
    <w:rsid w:val="00716756"/>
    <w:rsid w:val="0071682C"/>
    <w:rsid w:val="00716BDD"/>
    <w:rsid w:val="00717C4E"/>
    <w:rsid w:val="00720666"/>
    <w:rsid w:val="007209D7"/>
    <w:rsid w:val="00721973"/>
    <w:rsid w:val="007225CA"/>
    <w:rsid w:val="00722BDC"/>
    <w:rsid w:val="00723345"/>
    <w:rsid w:val="00723C31"/>
    <w:rsid w:val="00723FDD"/>
    <w:rsid w:val="0072413A"/>
    <w:rsid w:val="00724220"/>
    <w:rsid w:val="0072450D"/>
    <w:rsid w:val="00724551"/>
    <w:rsid w:val="0072513E"/>
    <w:rsid w:val="00725281"/>
    <w:rsid w:val="007253CA"/>
    <w:rsid w:val="007255D4"/>
    <w:rsid w:val="0072564C"/>
    <w:rsid w:val="00725767"/>
    <w:rsid w:val="00726421"/>
    <w:rsid w:val="0072778E"/>
    <w:rsid w:val="00727D87"/>
    <w:rsid w:val="00730839"/>
    <w:rsid w:val="00730D16"/>
    <w:rsid w:val="007310F3"/>
    <w:rsid w:val="00731591"/>
    <w:rsid w:val="007327F4"/>
    <w:rsid w:val="00732EA6"/>
    <w:rsid w:val="00733073"/>
    <w:rsid w:val="00733973"/>
    <w:rsid w:val="00733E54"/>
    <w:rsid w:val="00734D19"/>
    <w:rsid w:val="00734F69"/>
    <w:rsid w:val="00735335"/>
    <w:rsid w:val="0073547A"/>
    <w:rsid w:val="007356CA"/>
    <w:rsid w:val="007357B7"/>
    <w:rsid w:val="00735942"/>
    <w:rsid w:val="00735B43"/>
    <w:rsid w:val="0073660F"/>
    <w:rsid w:val="00736A9B"/>
    <w:rsid w:val="00736FA6"/>
    <w:rsid w:val="00737DFE"/>
    <w:rsid w:val="007408A4"/>
    <w:rsid w:val="00740AD2"/>
    <w:rsid w:val="007435F8"/>
    <w:rsid w:val="00743684"/>
    <w:rsid w:val="00743A42"/>
    <w:rsid w:val="00743E9C"/>
    <w:rsid w:val="00744486"/>
    <w:rsid w:val="00744DF8"/>
    <w:rsid w:val="00744EB3"/>
    <w:rsid w:val="00744FCC"/>
    <w:rsid w:val="007460E4"/>
    <w:rsid w:val="0074624A"/>
    <w:rsid w:val="007464E6"/>
    <w:rsid w:val="00746825"/>
    <w:rsid w:val="00746BB0"/>
    <w:rsid w:val="00747278"/>
    <w:rsid w:val="00747314"/>
    <w:rsid w:val="00747327"/>
    <w:rsid w:val="0074762B"/>
    <w:rsid w:val="00750766"/>
    <w:rsid w:val="00750D48"/>
    <w:rsid w:val="007514C6"/>
    <w:rsid w:val="00751A05"/>
    <w:rsid w:val="00751A09"/>
    <w:rsid w:val="00751D2D"/>
    <w:rsid w:val="00752C13"/>
    <w:rsid w:val="00753E29"/>
    <w:rsid w:val="00753F4C"/>
    <w:rsid w:val="00754477"/>
    <w:rsid w:val="00754502"/>
    <w:rsid w:val="007546F5"/>
    <w:rsid w:val="007550D2"/>
    <w:rsid w:val="007551EC"/>
    <w:rsid w:val="0075650B"/>
    <w:rsid w:val="007569A7"/>
    <w:rsid w:val="00756A47"/>
    <w:rsid w:val="00756E18"/>
    <w:rsid w:val="0075714E"/>
    <w:rsid w:val="00757968"/>
    <w:rsid w:val="00757AC8"/>
    <w:rsid w:val="00761360"/>
    <w:rsid w:val="00761889"/>
    <w:rsid w:val="007618D0"/>
    <w:rsid w:val="0076249B"/>
    <w:rsid w:val="00762942"/>
    <w:rsid w:val="00762A56"/>
    <w:rsid w:val="00762A6A"/>
    <w:rsid w:val="00762E38"/>
    <w:rsid w:val="00763B60"/>
    <w:rsid w:val="00763B85"/>
    <w:rsid w:val="0076469D"/>
    <w:rsid w:val="007648D8"/>
    <w:rsid w:val="00764C08"/>
    <w:rsid w:val="00764F25"/>
    <w:rsid w:val="007650E3"/>
    <w:rsid w:val="0076541D"/>
    <w:rsid w:val="00765B7F"/>
    <w:rsid w:val="00765D12"/>
    <w:rsid w:val="00766204"/>
    <w:rsid w:val="0076635B"/>
    <w:rsid w:val="007663B5"/>
    <w:rsid w:val="00766A93"/>
    <w:rsid w:val="00766B30"/>
    <w:rsid w:val="00766B42"/>
    <w:rsid w:val="00767802"/>
    <w:rsid w:val="00767A65"/>
    <w:rsid w:val="00767AF7"/>
    <w:rsid w:val="00767F4D"/>
    <w:rsid w:val="007712BB"/>
    <w:rsid w:val="00771866"/>
    <w:rsid w:val="0077268C"/>
    <w:rsid w:val="00772D63"/>
    <w:rsid w:val="0077370C"/>
    <w:rsid w:val="007746E2"/>
    <w:rsid w:val="007751BA"/>
    <w:rsid w:val="0077565C"/>
    <w:rsid w:val="007758B6"/>
    <w:rsid w:val="00775C73"/>
    <w:rsid w:val="00776F59"/>
    <w:rsid w:val="00777E1A"/>
    <w:rsid w:val="00777EE7"/>
    <w:rsid w:val="0078053C"/>
    <w:rsid w:val="00780E5B"/>
    <w:rsid w:val="00780F1F"/>
    <w:rsid w:val="0078158E"/>
    <w:rsid w:val="00782506"/>
    <w:rsid w:val="00782DEC"/>
    <w:rsid w:val="00783254"/>
    <w:rsid w:val="00783BB9"/>
    <w:rsid w:val="00783CB7"/>
    <w:rsid w:val="00784240"/>
    <w:rsid w:val="007843D4"/>
    <w:rsid w:val="00784FD7"/>
    <w:rsid w:val="00785343"/>
    <w:rsid w:val="007866A7"/>
    <w:rsid w:val="007867E5"/>
    <w:rsid w:val="0078773F"/>
    <w:rsid w:val="00787874"/>
    <w:rsid w:val="0079009E"/>
    <w:rsid w:val="00790CF4"/>
    <w:rsid w:val="00790FC2"/>
    <w:rsid w:val="00791144"/>
    <w:rsid w:val="0079210B"/>
    <w:rsid w:val="007921BE"/>
    <w:rsid w:val="00793450"/>
    <w:rsid w:val="0079377A"/>
    <w:rsid w:val="00793991"/>
    <w:rsid w:val="00794006"/>
    <w:rsid w:val="00794643"/>
    <w:rsid w:val="007949E1"/>
    <w:rsid w:val="00795571"/>
    <w:rsid w:val="00795990"/>
    <w:rsid w:val="007962D3"/>
    <w:rsid w:val="00797137"/>
    <w:rsid w:val="00797C9E"/>
    <w:rsid w:val="007A009F"/>
    <w:rsid w:val="007A0A1E"/>
    <w:rsid w:val="007A123E"/>
    <w:rsid w:val="007A1A54"/>
    <w:rsid w:val="007A1F3E"/>
    <w:rsid w:val="007A3B1B"/>
    <w:rsid w:val="007A451C"/>
    <w:rsid w:val="007A48D1"/>
    <w:rsid w:val="007A5367"/>
    <w:rsid w:val="007A5748"/>
    <w:rsid w:val="007A5BBA"/>
    <w:rsid w:val="007A6177"/>
    <w:rsid w:val="007A6415"/>
    <w:rsid w:val="007A6C3A"/>
    <w:rsid w:val="007A7B7A"/>
    <w:rsid w:val="007B028D"/>
    <w:rsid w:val="007B0F44"/>
    <w:rsid w:val="007B12BF"/>
    <w:rsid w:val="007B1C6C"/>
    <w:rsid w:val="007B20C4"/>
    <w:rsid w:val="007B2E33"/>
    <w:rsid w:val="007B3536"/>
    <w:rsid w:val="007B3AE1"/>
    <w:rsid w:val="007B4079"/>
    <w:rsid w:val="007B429A"/>
    <w:rsid w:val="007B46B1"/>
    <w:rsid w:val="007B4A53"/>
    <w:rsid w:val="007B4CE0"/>
    <w:rsid w:val="007B5A1F"/>
    <w:rsid w:val="007B5E1A"/>
    <w:rsid w:val="007B6388"/>
    <w:rsid w:val="007B6F23"/>
    <w:rsid w:val="007B7C6B"/>
    <w:rsid w:val="007B7F93"/>
    <w:rsid w:val="007C0E35"/>
    <w:rsid w:val="007C0E53"/>
    <w:rsid w:val="007C15F3"/>
    <w:rsid w:val="007C20DD"/>
    <w:rsid w:val="007C2415"/>
    <w:rsid w:val="007C2B7D"/>
    <w:rsid w:val="007C3078"/>
    <w:rsid w:val="007C3A55"/>
    <w:rsid w:val="007C3DD0"/>
    <w:rsid w:val="007C3E8D"/>
    <w:rsid w:val="007C4977"/>
    <w:rsid w:val="007C4B41"/>
    <w:rsid w:val="007C555F"/>
    <w:rsid w:val="007C5953"/>
    <w:rsid w:val="007C5EFC"/>
    <w:rsid w:val="007C6128"/>
    <w:rsid w:val="007C6ADF"/>
    <w:rsid w:val="007C6F8C"/>
    <w:rsid w:val="007C71A9"/>
    <w:rsid w:val="007C7227"/>
    <w:rsid w:val="007C751E"/>
    <w:rsid w:val="007C7A59"/>
    <w:rsid w:val="007D01A7"/>
    <w:rsid w:val="007D03B2"/>
    <w:rsid w:val="007D058C"/>
    <w:rsid w:val="007D0AA5"/>
    <w:rsid w:val="007D143A"/>
    <w:rsid w:val="007D2419"/>
    <w:rsid w:val="007D2A39"/>
    <w:rsid w:val="007D2C74"/>
    <w:rsid w:val="007D32EA"/>
    <w:rsid w:val="007D44D9"/>
    <w:rsid w:val="007D466C"/>
    <w:rsid w:val="007D48DE"/>
    <w:rsid w:val="007D5244"/>
    <w:rsid w:val="007D53D0"/>
    <w:rsid w:val="007D5924"/>
    <w:rsid w:val="007D66CB"/>
    <w:rsid w:val="007D6A5E"/>
    <w:rsid w:val="007D6D4B"/>
    <w:rsid w:val="007D6EF5"/>
    <w:rsid w:val="007D7859"/>
    <w:rsid w:val="007D7882"/>
    <w:rsid w:val="007E078B"/>
    <w:rsid w:val="007E0AD3"/>
    <w:rsid w:val="007E0AD6"/>
    <w:rsid w:val="007E0E4D"/>
    <w:rsid w:val="007E112B"/>
    <w:rsid w:val="007E2225"/>
    <w:rsid w:val="007E29B2"/>
    <w:rsid w:val="007E3C86"/>
    <w:rsid w:val="007E3CF2"/>
    <w:rsid w:val="007E4216"/>
    <w:rsid w:val="007E42B3"/>
    <w:rsid w:val="007E50A6"/>
    <w:rsid w:val="007E51E8"/>
    <w:rsid w:val="007E5990"/>
    <w:rsid w:val="007E649F"/>
    <w:rsid w:val="007E6B50"/>
    <w:rsid w:val="007E77CC"/>
    <w:rsid w:val="007F018B"/>
    <w:rsid w:val="007F052D"/>
    <w:rsid w:val="007F1254"/>
    <w:rsid w:val="007F1422"/>
    <w:rsid w:val="007F1A63"/>
    <w:rsid w:val="007F1E9B"/>
    <w:rsid w:val="007F21ED"/>
    <w:rsid w:val="007F2AB6"/>
    <w:rsid w:val="007F2D63"/>
    <w:rsid w:val="007F3204"/>
    <w:rsid w:val="007F3B2F"/>
    <w:rsid w:val="007F3CEF"/>
    <w:rsid w:val="007F3D5D"/>
    <w:rsid w:val="007F4C20"/>
    <w:rsid w:val="007F4CEC"/>
    <w:rsid w:val="007F51E3"/>
    <w:rsid w:val="007F54F1"/>
    <w:rsid w:val="007F61D2"/>
    <w:rsid w:val="007F68B6"/>
    <w:rsid w:val="007F79FA"/>
    <w:rsid w:val="007F7E70"/>
    <w:rsid w:val="0080009D"/>
    <w:rsid w:val="00800293"/>
    <w:rsid w:val="00800E49"/>
    <w:rsid w:val="0080135A"/>
    <w:rsid w:val="0080196B"/>
    <w:rsid w:val="0080255E"/>
    <w:rsid w:val="00802CFC"/>
    <w:rsid w:val="00802DA3"/>
    <w:rsid w:val="00804361"/>
    <w:rsid w:val="0080440E"/>
    <w:rsid w:val="0080442F"/>
    <w:rsid w:val="008044EE"/>
    <w:rsid w:val="00804648"/>
    <w:rsid w:val="00804F87"/>
    <w:rsid w:val="00805227"/>
    <w:rsid w:val="008054C2"/>
    <w:rsid w:val="008058D8"/>
    <w:rsid w:val="008058FC"/>
    <w:rsid w:val="00805B14"/>
    <w:rsid w:val="00806D18"/>
    <w:rsid w:val="008070FA"/>
    <w:rsid w:val="0080784B"/>
    <w:rsid w:val="0080794E"/>
    <w:rsid w:val="00810150"/>
    <w:rsid w:val="00810D05"/>
    <w:rsid w:val="00810EAB"/>
    <w:rsid w:val="008113F3"/>
    <w:rsid w:val="00812297"/>
    <w:rsid w:val="00812307"/>
    <w:rsid w:val="0081239A"/>
    <w:rsid w:val="00812CCC"/>
    <w:rsid w:val="00812DC8"/>
    <w:rsid w:val="00813055"/>
    <w:rsid w:val="008131DD"/>
    <w:rsid w:val="0081378B"/>
    <w:rsid w:val="0081401B"/>
    <w:rsid w:val="0081412B"/>
    <w:rsid w:val="00814707"/>
    <w:rsid w:val="00814D88"/>
    <w:rsid w:val="008150F4"/>
    <w:rsid w:val="0081512F"/>
    <w:rsid w:val="008151B4"/>
    <w:rsid w:val="008157C5"/>
    <w:rsid w:val="0081613C"/>
    <w:rsid w:val="008169E8"/>
    <w:rsid w:val="00816BBB"/>
    <w:rsid w:val="008171ED"/>
    <w:rsid w:val="008179DF"/>
    <w:rsid w:val="00817ED3"/>
    <w:rsid w:val="008205E7"/>
    <w:rsid w:val="008207DD"/>
    <w:rsid w:val="00821FA5"/>
    <w:rsid w:val="008226EA"/>
    <w:rsid w:val="00822BFE"/>
    <w:rsid w:val="00822E24"/>
    <w:rsid w:val="00823192"/>
    <w:rsid w:val="00823430"/>
    <w:rsid w:val="008239FD"/>
    <w:rsid w:val="00823B73"/>
    <w:rsid w:val="008243C8"/>
    <w:rsid w:val="00824DA7"/>
    <w:rsid w:val="00825BBA"/>
    <w:rsid w:val="00825D3B"/>
    <w:rsid w:val="0082617A"/>
    <w:rsid w:val="00826227"/>
    <w:rsid w:val="0082648C"/>
    <w:rsid w:val="00826841"/>
    <w:rsid w:val="00827081"/>
    <w:rsid w:val="00830CE1"/>
    <w:rsid w:val="00830F12"/>
    <w:rsid w:val="0083224E"/>
    <w:rsid w:val="008325B8"/>
    <w:rsid w:val="00832602"/>
    <w:rsid w:val="008335E2"/>
    <w:rsid w:val="00833660"/>
    <w:rsid w:val="008341C8"/>
    <w:rsid w:val="00834DAB"/>
    <w:rsid w:val="00835616"/>
    <w:rsid w:val="00835CBC"/>
    <w:rsid w:val="00835D0D"/>
    <w:rsid w:val="00836D3F"/>
    <w:rsid w:val="00836DFA"/>
    <w:rsid w:val="00836F53"/>
    <w:rsid w:val="00837192"/>
    <w:rsid w:val="008375B8"/>
    <w:rsid w:val="00837A03"/>
    <w:rsid w:val="00840079"/>
    <w:rsid w:val="008407EE"/>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4D0B"/>
    <w:rsid w:val="00846050"/>
    <w:rsid w:val="008462B9"/>
    <w:rsid w:val="0084678E"/>
    <w:rsid w:val="008469A6"/>
    <w:rsid w:val="00846AA5"/>
    <w:rsid w:val="0084707E"/>
    <w:rsid w:val="00847FF9"/>
    <w:rsid w:val="00850716"/>
    <w:rsid w:val="00850AE9"/>
    <w:rsid w:val="00850EE4"/>
    <w:rsid w:val="0085120A"/>
    <w:rsid w:val="00851237"/>
    <w:rsid w:val="008523F2"/>
    <w:rsid w:val="00852782"/>
    <w:rsid w:val="00854605"/>
    <w:rsid w:val="0085471B"/>
    <w:rsid w:val="00854B22"/>
    <w:rsid w:val="00854CF9"/>
    <w:rsid w:val="00855323"/>
    <w:rsid w:val="00855454"/>
    <w:rsid w:val="008557A9"/>
    <w:rsid w:val="008567BB"/>
    <w:rsid w:val="008569FE"/>
    <w:rsid w:val="00857FFD"/>
    <w:rsid w:val="00863D71"/>
    <w:rsid w:val="0086518F"/>
    <w:rsid w:val="0086553C"/>
    <w:rsid w:val="00865542"/>
    <w:rsid w:val="0086565A"/>
    <w:rsid w:val="00865CE3"/>
    <w:rsid w:val="008664B3"/>
    <w:rsid w:val="008664DD"/>
    <w:rsid w:val="00867580"/>
    <w:rsid w:val="00867DD8"/>
    <w:rsid w:val="00867EAF"/>
    <w:rsid w:val="00870B01"/>
    <w:rsid w:val="00870EFD"/>
    <w:rsid w:val="008712C9"/>
    <w:rsid w:val="008714B9"/>
    <w:rsid w:val="00871E3B"/>
    <w:rsid w:val="0087211B"/>
    <w:rsid w:val="008721A4"/>
    <w:rsid w:val="008723C0"/>
    <w:rsid w:val="00872408"/>
    <w:rsid w:val="00872DFF"/>
    <w:rsid w:val="00872E4C"/>
    <w:rsid w:val="00873D5E"/>
    <w:rsid w:val="008745FE"/>
    <w:rsid w:val="00874982"/>
    <w:rsid w:val="00874CC8"/>
    <w:rsid w:val="0087542B"/>
    <w:rsid w:val="008756C7"/>
    <w:rsid w:val="00875CCF"/>
    <w:rsid w:val="008762CF"/>
    <w:rsid w:val="00876316"/>
    <w:rsid w:val="00876397"/>
    <w:rsid w:val="008764BD"/>
    <w:rsid w:val="00876D29"/>
    <w:rsid w:val="00877412"/>
    <w:rsid w:val="008774FB"/>
    <w:rsid w:val="0087765B"/>
    <w:rsid w:val="008778C3"/>
    <w:rsid w:val="00877BE2"/>
    <w:rsid w:val="008800B3"/>
    <w:rsid w:val="00880443"/>
    <w:rsid w:val="0088085A"/>
    <w:rsid w:val="008810BF"/>
    <w:rsid w:val="00881C4B"/>
    <w:rsid w:val="00881C96"/>
    <w:rsid w:val="008820F5"/>
    <w:rsid w:val="00882843"/>
    <w:rsid w:val="00882B8B"/>
    <w:rsid w:val="00883311"/>
    <w:rsid w:val="008833BE"/>
    <w:rsid w:val="0088345A"/>
    <w:rsid w:val="00884239"/>
    <w:rsid w:val="0088466F"/>
    <w:rsid w:val="00884E89"/>
    <w:rsid w:val="00886526"/>
    <w:rsid w:val="008867EE"/>
    <w:rsid w:val="00886B79"/>
    <w:rsid w:val="00886E4C"/>
    <w:rsid w:val="0089036B"/>
    <w:rsid w:val="008906F6"/>
    <w:rsid w:val="00890844"/>
    <w:rsid w:val="008908FE"/>
    <w:rsid w:val="0089106E"/>
    <w:rsid w:val="008910C4"/>
    <w:rsid w:val="008917C6"/>
    <w:rsid w:val="00891B0D"/>
    <w:rsid w:val="00891C1F"/>
    <w:rsid w:val="008922C2"/>
    <w:rsid w:val="00892968"/>
    <w:rsid w:val="0089376F"/>
    <w:rsid w:val="00894CC1"/>
    <w:rsid w:val="00894CE4"/>
    <w:rsid w:val="00894E39"/>
    <w:rsid w:val="00895A16"/>
    <w:rsid w:val="008960BE"/>
    <w:rsid w:val="00896B93"/>
    <w:rsid w:val="008A01A3"/>
    <w:rsid w:val="008A06BC"/>
    <w:rsid w:val="008A0ABA"/>
    <w:rsid w:val="008A16FB"/>
    <w:rsid w:val="008A195F"/>
    <w:rsid w:val="008A277B"/>
    <w:rsid w:val="008A29A2"/>
    <w:rsid w:val="008A29D7"/>
    <w:rsid w:val="008A2EFF"/>
    <w:rsid w:val="008A3135"/>
    <w:rsid w:val="008A37C8"/>
    <w:rsid w:val="008A42B3"/>
    <w:rsid w:val="008A5151"/>
    <w:rsid w:val="008A5DD3"/>
    <w:rsid w:val="008A6B21"/>
    <w:rsid w:val="008A6DC3"/>
    <w:rsid w:val="008A6F8F"/>
    <w:rsid w:val="008A73B9"/>
    <w:rsid w:val="008A76DC"/>
    <w:rsid w:val="008A7B67"/>
    <w:rsid w:val="008A7D37"/>
    <w:rsid w:val="008A7EBE"/>
    <w:rsid w:val="008B0AB5"/>
    <w:rsid w:val="008B103D"/>
    <w:rsid w:val="008B1BDA"/>
    <w:rsid w:val="008B1E1A"/>
    <w:rsid w:val="008B20C9"/>
    <w:rsid w:val="008B2C47"/>
    <w:rsid w:val="008B3931"/>
    <w:rsid w:val="008B3CCA"/>
    <w:rsid w:val="008B417F"/>
    <w:rsid w:val="008B45F5"/>
    <w:rsid w:val="008B55C3"/>
    <w:rsid w:val="008B765C"/>
    <w:rsid w:val="008B78B6"/>
    <w:rsid w:val="008C0111"/>
    <w:rsid w:val="008C0B5A"/>
    <w:rsid w:val="008C0EF5"/>
    <w:rsid w:val="008C0F47"/>
    <w:rsid w:val="008C1355"/>
    <w:rsid w:val="008C176C"/>
    <w:rsid w:val="008C1BB2"/>
    <w:rsid w:val="008C1CDD"/>
    <w:rsid w:val="008C1CEC"/>
    <w:rsid w:val="008C2079"/>
    <w:rsid w:val="008C2492"/>
    <w:rsid w:val="008C2A89"/>
    <w:rsid w:val="008C2B09"/>
    <w:rsid w:val="008C2DAA"/>
    <w:rsid w:val="008C38B9"/>
    <w:rsid w:val="008C3F5B"/>
    <w:rsid w:val="008C41BF"/>
    <w:rsid w:val="008C4487"/>
    <w:rsid w:val="008C4DEE"/>
    <w:rsid w:val="008C58A9"/>
    <w:rsid w:val="008C5A70"/>
    <w:rsid w:val="008C5AF5"/>
    <w:rsid w:val="008C5C48"/>
    <w:rsid w:val="008C5C86"/>
    <w:rsid w:val="008C612F"/>
    <w:rsid w:val="008C651D"/>
    <w:rsid w:val="008C6D81"/>
    <w:rsid w:val="008C766E"/>
    <w:rsid w:val="008C7D90"/>
    <w:rsid w:val="008D05B5"/>
    <w:rsid w:val="008D0660"/>
    <w:rsid w:val="008D0AFE"/>
    <w:rsid w:val="008D0CAC"/>
    <w:rsid w:val="008D0D2C"/>
    <w:rsid w:val="008D0E8C"/>
    <w:rsid w:val="008D0F26"/>
    <w:rsid w:val="008D0F4D"/>
    <w:rsid w:val="008D0F57"/>
    <w:rsid w:val="008D16D2"/>
    <w:rsid w:val="008D1C72"/>
    <w:rsid w:val="008D28A9"/>
    <w:rsid w:val="008D2B67"/>
    <w:rsid w:val="008D2BDB"/>
    <w:rsid w:val="008D3050"/>
    <w:rsid w:val="008D41A2"/>
    <w:rsid w:val="008D46BF"/>
    <w:rsid w:val="008D491E"/>
    <w:rsid w:val="008D4C98"/>
    <w:rsid w:val="008D4ED2"/>
    <w:rsid w:val="008D550C"/>
    <w:rsid w:val="008D5874"/>
    <w:rsid w:val="008D634B"/>
    <w:rsid w:val="008D666C"/>
    <w:rsid w:val="008D6E11"/>
    <w:rsid w:val="008D6FBD"/>
    <w:rsid w:val="008D74D5"/>
    <w:rsid w:val="008E12F2"/>
    <w:rsid w:val="008E14B0"/>
    <w:rsid w:val="008E1888"/>
    <w:rsid w:val="008E1A5F"/>
    <w:rsid w:val="008E22D0"/>
    <w:rsid w:val="008E285E"/>
    <w:rsid w:val="008E2E8F"/>
    <w:rsid w:val="008E373A"/>
    <w:rsid w:val="008E3D95"/>
    <w:rsid w:val="008E4CF3"/>
    <w:rsid w:val="008E518F"/>
    <w:rsid w:val="008E53A6"/>
    <w:rsid w:val="008E54D2"/>
    <w:rsid w:val="008E5A9C"/>
    <w:rsid w:val="008E5C87"/>
    <w:rsid w:val="008E5FA0"/>
    <w:rsid w:val="008E6671"/>
    <w:rsid w:val="008E6BD5"/>
    <w:rsid w:val="008E6D91"/>
    <w:rsid w:val="008E6F31"/>
    <w:rsid w:val="008E703F"/>
    <w:rsid w:val="008E7473"/>
    <w:rsid w:val="008E7AF9"/>
    <w:rsid w:val="008F0398"/>
    <w:rsid w:val="008F07A1"/>
    <w:rsid w:val="008F0ED4"/>
    <w:rsid w:val="008F130E"/>
    <w:rsid w:val="008F15A7"/>
    <w:rsid w:val="008F1892"/>
    <w:rsid w:val="008F19D6"/>
    <w:rsid w:val="008F1FB4"/>
    <w:rsid w:val="008F20D2"/>
    <w:rsid w:val="008F2435"/>
    <w:rsid w:val="008F2618"/>
    <w:rsid w:val="008F2E27"/>
    <w:rsid w:val="008F40E8"/>
    <w:rsid w:val="008F4636"/>
    <w:rsid w:val="008F4AAE"/>
    <w:rsid w:val="008F4B81"/>
    <w:rsid w:val="008F5D02"/>
    <w:rsid w:val="008F69EE"/>
    <w:rsid w:val="008F6FEC"/>
    <w:rsid w:val="008F703F"/>
    <w:rsid w:val="008F75E1"/>
    <w:rsid w:val="008F7A00"/>
    <w:rsid w:val="008F7DAE"/>
    <w:rsid w:val="009001A5"/>
    <w:rsid w:val="009006FF"/>
    <w:rsid w:val="00901087"/>
    <w:rsid w:val="00901B89"/>
    <w:rsid w:val="00901D11"/>
    <w:rsid w:val="00901E49"/>
    <w:rsid w:val="00902112"/>
    <w:rsid w:val="00902198"/>
    <w:rsid w:val="00902CB7"/>
    <w:rsid w:val="009033D9"/>
    <w:rsid w:val="00903593"/>
    <w:rsid w:val="00903B50"/>
    <w:rsid w:val="009043FD"/>
    <w:rsid w:val="009048D1"/>
    <w:rsid w:val="00904C3D"/>
    <w:rsid w:val="00905343"/>
    <w:rsid w:val="00905C47"/>
    <w:rsid w:val="00905E3C"/>
    <w:rsid w:val="009060CB"/>
    <w:rsid w:val="009061B4"/>
    <w:rsid w:val="009063B8"/>
    <w:rsid w:val="00906EE9"/>
    <w:rsid w:val="00907389"/>
    <w:rsid w:val="009074C8"/>
    <w:rsid w:val="00907CE7"/>
    <w:rsid w:val="00911299"/>
    <w:rsid w:val="009112D1"/>
    <w:rsid w:val="0091196E"/>
    <w:rsid w:val="00911E0F"/>
    <w:rsid w:val="009124AA"/>
    <w:rsid w:val="00912CA3"/>
    <w:rsid w:val="00913786"/>
    <w:rsid w:val="009139E2"/>
    <w:rsid w:val="00913A24"/>
    <w:rsid w:val="00914230"/>
    <w:rsid w:val="00914241"/>
    <w:rsid w:val="009145B5"/>
    <w:rsid w:val="00914EE7"/>
    <w:rsid w:val="00914FE6"/>
    <w:rsid w:val="0091531F"/>
    <w:rsid w:val="009164BB"/>
    <w:rsid w:val="0091685E"/>
    <w:rsid w:val="00916994"/>
    <w:rsid w:val="00916AF5"/>
    <w:rsid w:val="00917760"/>
    <w:rsid w:val="00917A50"/>
    <w:rsid w:val="00917AC6"/>
    <w:rsid w:val="00917EF7"/>
    <w:rsid w:val="0092044B"/>
    <w:rsid w:val="009207C3"/>
    <w:rsid w:val="00920835"/>
    <w:rsid w:val="00921076"/>
    <w:rsid w:val="0092123C"/>
    <w:rsid w:val="009218DC"/>
    <w:rsid w:val="00921943"/>
    <w:rsid w:val="0092292D"/>
    <w:rsid w:val="00922DF2"/>
    <w:rsid w:val="00923002"/>
    <w:rsid w:val="009231BD"/>
    <w:rsid w:val="009233F6"/>
    <w:rsid w:val="00924418"/>
    <w:rsid w:val="00924498"/>
    <w:rsid w:val="0092470E"/>
    <w:rsid w:val="00924A36"/>
    <w:rsid w:val="00925708"/>
    <w:rsid w:val="00925C60"/>
    <w:rsid w:val="00925E68"/>
    <w:rsid w:val="00925F1B"/>
    <w:rsid w:val="009264CA"/>
    <w:rsid w:val="009266B5"/>
    <w:rsid w:val="009267B7"/>
    <w:rsid w:val="009269CB"/>
    <w:rsid w:val="00926BF2"/>
    <w:rsid w:val="00926D47"/>
    <w:rsid w:val="00926F6C"/>
    <w:rsid w:val="00927AEF"/>
    <w:rsid w:val="009308D8"/>
    <w:rsid w:val="00930967"/>
    <w:rsid w:val="0093133A"/>
    <w:rsid w:val="0093136A"/>
    <w:rsid w:val="009313B5"/>
    <w:rsid w:val="00932811"/>
    <w:rsid w:val="009331A7"/>
    <w:rsid w:val="00933244"/>
    <w:rsid w:val="009333C2"/>
    <w:rsid w:val="009334CE"/>
    <w:rsid w:val="00933AAB"/>
    <w:rsid w:val="00933B71"/>
    <w:rsid w:val="00933C92"/>
    <w:rsid w:val="00933E23"/>
    <w:rsid w:val="00934042"/>
    <w:rsid w:val="00934A24"/>
    <w:rsid w:val="00935639"/>
    <w:rsid w:val="0093741D"/>
    <w:rsid w:val="00937BCD"/>
    <w:rsid w:val="009400BA"/>
    <w:rsid w:val="00940436"/>
    <w:rsid w:val="00940482"/>
    <w:rsid w:val="009404FF"/>
    <w:rsid w:val="009410A6"/>
    <w:rsid w:val="00941EFB"/>
    <w:rsid w:val="0094269D"/>
    <w:rsid w:val="00942C0D"/>
    <w:rsid w:val="0094419A"/>
    <w:rsid w:val="0094450F"/>
    <w:rsid w:val="00944FFA"/>
    <w:rsid w:val="009459E9"/>
    <w:rsid w:val="00945A69"/>
    <w:rsid w:val="00945BFA"/>
    <w:rsid w:val="0094654B"/>
    <w:rsid w:val="0094712A"/>
    <w:rsid w:val="00947715"/>
    <w:rsid w:val="009477AE"/>
    <w:rsid w:val="00947A42"/>
    <w:rsid w:val="00947A70"/>
    <w:rsid w:val="00947C33"/>
    <w:rsid w:val="00950719"/>
    <w:rsid w:val="00950D11"/>
    <w:rsid w:val="00950D5A"/>
    <w:rsid w:val="009520D1"/>
    <w:rsid w:val="00952E97"/>
    <w:rsid w:val="0095398D"/>
    <w:rsid w:val="00953C92"/>
    <w:rsid w:val="009541A4"/>
    <w:rsid w:val="00954802"/>
    <w:rsid w:val="00954A3C"/>
    <w:rsid w:val="00954B51"/>
    <w:rsid w:val="00955203"/>
    <w:rsid w:val="00955A4E"/>
    <w:rsid w:val="0095611C"/>
    <w:rsid w:val="0095652A"/>
    <w:rsid w:val="009566FC"/>
    <w:rsid w:val="00956C1C"/>
    <w:rsid w:val="00956CC9"/>
    <w:rsid w:val="00957300"/>
    <w:rsid w:val="00957D0A"/>
    <w:rsid w:val="00960018"/>
    <w:rsid w:val="00960060"/>
    <w:rsid w:val="00960306"/>
    <w:rsid w:val="009603D1"/>
    <w:rsid w:val="009608DB"/>
    <w:rsid w:val="00960E53"/>
    <w:rsid w:val="00960E93"/>
    <w:rsid w:val="009619A6"/>
    <w:rsid w:val="00962901"/>
    <w:rsid w:val="00962DC2"/>
    <w:rsid w:val="00962F42"/>
    <w:rsid w:val="00963052"/>
    <w:rsid w:val="00963C00"/>
    <w:rsid w:val="00964A59"/>
    <w:rsid w:val="0096534D"/>
    <w:rsid w:val="00965715"/>
    <w:rsid w:val="00965AE6"/>
    <w:rsid w:val="00965E91"/>
    <w:rsid w:val="00966048"/>
    <w:rsid w:val="0096686C"/>
    <w:rsid w:val="00967B6F"/>
    <w:rsid w:val="00970022"/>
    <w:rsid w:val="00970134"/>
    <w:rsid w:val="00970506"/>
    <w:rsid w:val="00970EFF"/>
    <w:rsid w:val="00970FA0"/>
    <w:rsid w:val="0097212B"/>
    <w:rsid w:val="00972860"/>
    <w:rsid w:val="009730C0"/>
    <w:rsid w:val="0097360B"/>
    <w:rsid w:val="00973FBC"/>
    <w:rsid w:val="0097483E"/>
    <w:rsid w:val="00974995"/>
    <w:rsid w:val="00974A70"/>
    <w:rsid w:val="00975393"/>
    <w:rsid w:val="00975559"/>
    <w:rsid w:val="00976EBF"/>
    <w:rsid w:val="0097731F"/>
    <w:rsid w:val="00980228"/>
    <w:rsid w:val="009811C0"/>
    <w:rsid w:val="009818CE"/>
    <w:rsid w:val="00981C22"/>
    <w:rsid w:val="0098256D"/>
    <w:rsid w:val="00982ED3"/>
    <w:rsid w:val="00982F10"/>
    <w:rsid w:val="00982F21"/>
    <w:rsid w:val="00983024"/>
    <w:rsid w:val="00983CDC"/>
    <w:rsid w:val="00984D30"/>
    <w:rsid w:val="00985025"/>
    <w:rsid w:val="009852C9"/>
    <w:rsid w:val="0098553B"/>
    <w:rsid w:val="00985B46"/>
    <w:rsid w:val="00986600"/>
    <w:rsid w:val="009866E4"/>
    <w:rsid w:val="009867A5"/>
    <w:rsid w:val="009869B6"/>
    <w:rsid w:val="00986D3E"/>
    <w:rsid w:val="009878A4"/>
    <w:rsid w:val="00987A21"/>
    <w:rsid w:val="00987D78"/>
    <w:rsid w:val="00987DE3"/>
    <w:rsid w:val="00990DE8"/>
    <w:rsid w:val="00990F44"/>
    <w:rsid w:val="0099150C"/>
    <w:rsid w:val="0099389B"/>
    <w:rsid w:val="00993945"/>
    <w:rsid w:val="00993D80"/>
    <w:rsid w:val="00994EA0"/>
    <w:rsid w:val="00994F67"/>
    <w:rsid w:val="00994FBC"/>
    <w:rsid w:val="0099517F"/>
    <w:rsid w:val="009951BE"/>
    <w:rsid w:val="009961A6"/>
    <w:rsid w:val="009968AC"/>
    <w:rsid w:val="0099711E"/>
    <w:rsid w:val="00997F1C"/>
    <w:rsid w:val="009A0187"/>
    <w:rsid w:val="009A1049"/>
    <w:rsid w:val="009A269D"/>
    <w:rsid w:val="009A278F"/>
    <w:rsid w:val="009A30A1"/>
    <w:rsid w:val="009A4445"/>
    <w:rsid w:val="009A5002"/>
    <w:rsid w:val="009A5137"/>
    <w:rsid w:val="009A56FD"/>
    <w:rsid w:val="009A5765"/>
    <w:rsid w:val="009A594E"/>
    <w:rsid w:val="009A5981"/>
    <w:rsid w:val="009A5E09"/>
    <w:rsid w:val="009A60BD"/>
    <w:rsid w:val="009A6174"/>
    <w:rsid w:val="009A6573"/>
    <w:rsid w:val="009A68FD"/>
    <w:rsid w:val="009A7B03"/>
    <w:rsid w:val="009B13B7"/>
    <w:rsid w:val="009B1A33"/>
    <w:rsid w:val="009B1B37"/>
    <w:rsid w:val="009B1F1E"/>
    <w:rsid w:val="009B45A4"/>
    <w:rsid w:val="009B4D31"/>
    <w:rsid w:val="009B53D5"/>
    <w:rsid w:val="009B6144"/>
    <w:rsid w:val="009B6CB1"/>
    <w:rsid w:val="009B75F6"/>
    <w:rsid w:val="009B78D4"/>
    <w:rsid w:val="009B7B59"/>
    <w:rsid w:val="009C0036"/>
    <w:rsid w:val="009C0158"/>
    <w:rsid w:val="009C02FB"/>
    <w:rsid w:val="009C1A77"/>
    <w:rsid w:val="009C2311"/>
    <w:rsid w:val="009C2660"/>
    <w:rsid w:val="009C2E1C"/>
    <w:rsid w:val="009C3174"/>
    <w:rsid w:val="009C3E04"/>
    <w:rsid w:val="009C3F4C"/>
    <w:rsid w:val="009C4284"/>
    <w:rsid w:val="009C440F"/>
    <w:rsid w:val="009C4E5A"/>
    <w:rsid w:val="009C5A4E"/>
    <w:rsid w:val="009C67E7"/>
    <w:rsid w:val="009C6EA7"/>
    <w:rsid w:val="009C6F84"/>
    <w:rsid w:val="009C77CB"/>
    <w:rsid w:val="009D0034"/>
    <w:rsid w:val="009D03DA"/>
    <w:rsid w:val="009D04AC"/>
    <w:rsid w:val="009D07DB"/>
    <w:rsid w:val="009D099B"/>
    <w:rsid w:val="009D0BC9"/>
    <w:rsid w:val="009D0C0C"/>
    <w:rsid w:val="009D14DD"/>
    <w:rsid w:val="009D1711"/>
    <w:rsid w:val="009D1D43"/>
    <w:rsid w:val="009D36BF"/>
    <w:rsid w:val="009D4199"/>
    <w:rsid w:val="009D44C5"/>
    <w:rsid w:val="009D472F"/>
    <w:rsid w:val="009D4B2E"/>
    <w:rsid w:val="009D4C79"/>
    <w:rsid w:val="009D4CE9"/>
    <w:rsid w:val="009D4FD6"/>
    <w:rsid w:val="009D5107"/>
    <w:rsid w:val="009D5806"/>
    <w:rsid w:val="009D5DFE"/>
    <w:rsid w:val="009D5F7D"/>
    <w:rsid w:val="009D6952"/>
    <w:rsid w:val="009D7287"/>
    <w:rsid w:val="009D74EB"/>
    <w:rsid w:val="009D777E"/>
    <w:rsid w:val="009D7BF7"/>
    <w:rsid w:val="009E035E"/>
    <w:rsid w:val="009E0E53"/>
    <w:rsid w:val="009E13C6"/>
    <w:rsid w:val="009E16BF"/>
    <w:rsid w:val="009E191B"/>
    <w:rsid w:val="009E1B5F"/>
    <w:rsid w:val="009E2C32"/>
    <w:rsid w:val="009E2D69"/>
    <w:rsid w:val="009E3108"/>
    <w:rsid w:val="009E3125"/>
    <w:rsid w:val="009E33CB"/>
    <w:rsid w:val="009E350F"/>
    <w:rsid w:val="009E3DAF"/>
    <w:rsid w:val="009E524A"/>
    <w:rsid w:val="009E6399"/>
    <w:rsid w:val="009E64F6"/>
    <w:rsid w:val="009E65D7"/>
    <w:rsid w:val="009E6D5D"/>
    <w:rsid w:val="009E75A1"/>
    <w:rsid w:val="009E7709"/>
    <w:rsid w:val="009E7A0E"/>
    <w:rsid w:val="009E7FCF"/>
    <w:rsid w:val="009F00E5"/>
    <w:rsid w:val="009F199A"/>
    <w:rsid w:val="009F1AC6"/>
    <w:rsid w:val="009F2514"/>
    <w:rsid w:val="009F28B5"/>
    <w:rsid w:val="009F35D1"/>
    <w:rsid w:val="009F3935"/>
    <w:rsid w:val="009F3CED"/>
    <w:rsid w:val="009F41C5"/>
    <w:rsid w:val="009F4B05"/>
    <w:rsid w:val="009F4EBD"/>
    <w:rsid w:val="009F4F18"/>
    <w:rsid w:val="009F5512"/>
    <w:rsid w:val="009F55EF"/>
    <w:rsid w:val="009F57B8"/>
    <w:rsid w:val="009F5A17"/>
    <w:rsid w:val="009F661B"/>
    <w:rsid w:val="009F667C"/>
    <w:rsid w:val="009F698B"/>
    <w:rsid w:val="009F6DC4"/>
    <w:rsid w:val="009F7A25"/>
    <w:rsid w:val="009F7FF0"/>
    <w:rsid w:val="00A00495"/>
    <w:rsid w:val="00A00AA0"/>
    <w:rsid w:val="00A00DDA"/>
    <w:rsid w:val="00A01A06"/>
    <w:rsid w:val="00A01B13"/>
    <w:rsid w:val="00A01E8A"/>
    <w:rsid w:val="00A02145"/>
    <w:rsid w:val="00A03030"/>
    <w:rsid w:val="00A03A53"/>
    <w:rsid w:val="00A03A9B"/>
    <w:rsid w:val="00A03CE0"/>
    <w:rsid w:val="00A047AA"/>
    <w:rsid w:val="00A04A85"/>
    <w:rsid w:val="00A0543C"/>
    <w:rsid w:val="00A05F06"/>
    <w:rsid w:val="00A06ED4"/>
    <w:rsid w:val="00A0700D"/>
    <w:rsid w:val="00A07101"/>
    <w:rsid w:val="00A07290"/>
    <w:rsid w:val="00A07FE0"/>
    <w:rsid w:val="00A119C3"/>
    <w:rsid w:val="00A11E5B"/>
    <w:rsid w:val="00A11F15"/>
    <w:rsid w:val="00A11FD5"/>
    <w:rsid w:val="00A11FDD"/>
    <w:rsid w:val="00A12525"/>
    <w:rsid w:val="00A126E8"/>
    <w:rsid w:val="00A12709"/>
    <w:rsid w:val="00A12792"/>
    <w:rsid w:val="00A12CFB"/>
    <w:rsid w:val="00A1395F"/>
    <w:rsid w:val="00A14050"/>
    <w:rsid w:val="00A14907"/>
    <w:rsid w:val="00A14C72"/>
    <w:rsid w:val="00A14E37"/>
    <w:rsid w:val="00A14F06"/>
    <w:rsid w:val="00A14FCE"/>
    <w:rsid w:val="00A15340"/>
    <w:rsid w:val="00A15E14"/>
    <w:rsid w:val="00A162CB"/>
    <w:rsid w:val="00A16D0C"/>
    <w:rsid w:val="00A16FFA"/>
    <w:rsid w:val="00A1782E"/>
    <w:rsid w:val="00A179EF"/>
    <w:rsid w:val="00A20BB5"/>
    <w:rsid w:val="00A21A62"/>
    <w:rsid w:val="00A21B34"/>
    <w:rsid w:val="00A21E40"/>
    <w:rsid w:val="00A22C3A"/>
    <w:rsid w:val="00A23509"/>
    <w:rsid w:val="00A2393D"/>
    <w:rsid w:val="00A251D9"/>
    <w:rsid w:val="00A2607F"/>
    <w:rsid w:val="00A263DF"/>
    <w:rsid w:val="00A263F1"/>
    <w:rsid w:val="00A265AD"/>
    <w:rsid w:val="00A268B1"/>
    <w:rsid w:val="00A271D8"/>
    <w:rsid w:val="00A272C3"/>
    <w:rsid w:val="00A279C8"/>
    <w:rsid w:val="00A3053C"/>
    <w:rsid w:val="00A30B38"/>
    <w:rsid w:val="00A30B5F"/>
    <w:rsid w:val="00A31DE7"/>
    <w:rsid w:val="00A321C6"/>
    <w:rsid w:val="00A3350D"/>
    <w:rsid w:val="00A33B9B"/>
    <w:rsid w:val="00A34172"/>
    <w:rsid w:val="00A34F43"/>
    <w:rsid w:val="00A36277"/>
    <w:rsid w:val="00A3639B"/>
    <w:rsid w:val="00A36536"/>
    <w:rsid w:val="00A36DE7"/>
    <w:rsid w:val="00A37702"/>
    <w:rsid w:val="00A40929"/>
    <w:rsid w:val="00A40969"/>
    <w:rsid w:val="00A409D8"/>
    <w:rsid w:val="00A40B50"/>
    <w:rsid w:val="00A40D1C"/>
    <w:rsid w:val="00A40F9C"/>
    <w:rsid w:val="00A41B08"/>
    <w:rsid w:val="00A429F8"/>
    <w:rsid w:val="00A42DB7"/>
    <w:rsid w:val="00A42F21"/>
    <w:rsid w:val="00A433EF"/>
    <w:rsid w:val="00A4394F"/>
    <w:rsid w:val="00A43A74"/>
    <w:rsid w:val="00A43E20"/>
    <w:rsid w:val="00A44251"/>
    <w:rsid w:val="00A45073"/>
    <w:rsid w:val="00A4524A"/>
    <w:rsid w:val="00A456A3"/>
    <w:rsid w:val="00A46357"/>
    <w:rsid w:val="00A46C9C"/>
    <w:rsid w:val="00A50180"/>
    <w:rsid w:val="00A5103D"/>
    <w:rsid w:val="00A51B22"/>
    <w:rsid w:val="00A51E46"/>
    <w:rsid w:val="00A52F2F"/>
    <w:rsid w:val="00A5436F"/>
    <w:rsid w:val="00A54646"/>
    <w:rsid w:val="00A54808"/>
    <w:rsid w:val="00A54945"/>
    <w:rsid w:val="00A54AF4"/>
    <w:rsid w:val="00A5671B"/>
    <w:rsid w:val="00A57777"/>
    <w:rsid w:val="00A6126E"/>
    <w:rsid w:val="00A61791"/>
    <w:rsid w:val="00A61A68"/>
    <w:rsid w:val="00A6215C"/>
    <w:rsid w:val="00A6251F"/>
    <w:rsid w:val="00A63A91"/>
    <w:rsid w:val="00A63C2B"/>
    <w:rsid w:val="00A6410B"/>
    <w:rsid w:val="00A6528B"/>
    <w:rsid w:val="00A6537D"/>
    <w:rsid w:val="00A654BB"/>
    <w:rsid w:val="00A65629"/>
    <w:rsid w:val="00A65BEE"/>
    <w:rsid w:val="00A65C2F"/>
    <w:rsid w:val="00A66220"/>
    <w:rsid w:val="00A672EA"/>
    <w:rsid w:val="00A678DA"/>
    <w:rsid w:val="00A705FD"/>
    <w:rsid w:val="00A70D74"/>
    <w:rsid w:val="00A7151B"/>
    <w:rsid w:val="00A71708"/>
    <w:rsid w:val="00A71E7E"/>
    <w:rsid w:val="00A71F26"/>
    <w:rsid w:val="00A72C08"/>
    <w:rsid w:val="00A72D2B"/>
    <w:rsid w:val="00A72EA6"/>
    <w:rsid w:val="00A73B09"/>
    <w:rsid w:val="00A73F6B"/>
    <w:rsid w:val="00A73FC1"/>
    <w:rsid w:val="00A73FFD"/>
    <w:rsid w:val="00A7470A"/>
    <w:rsid w:val="00A749D8"/>
    <w:rsid w:val="00A74A8E"/>
    <w:rsid w:val="00A74C3E"/>
    <w:rsid w:val="00A74FD8"/>
    <w:rsid w:val="00A7517A"/>
    <w:rsid w:val="00A75EA5"/>
    <w:rsid w:val="00A76239"/>
    <w:rsid w:val="00A76B04"/>
    <w:rsid w:val="00A776CD"/>
    <w:rsid w:val="00A8034C"/>
    <w:rsid w:val="00A8046F"/>
    <w:rsid w:val="00A808E8"/>
    <w:rsid w:val="00A816D5"/>
    <w:rsid w:val="00A81918"/>
    <w:rsid w:val="00A82225"/>
    <w:rsid w:val="00A82964"/>
    <w:rsid w:val="00A83284"/>
    <w:rsid w:val="00A84184"/>
    <w:rsid w:val="00A849F5"/>
    <w:rsid w:val="00A84DBA"/>
    <w:rsid w:val="00A84E74"/>
    <w:rsid w:val="00A8530E"/>
    <w:rsid w:val="00A8560C"/>
    <w:rsid w:val="00A85CB0"/>
    <w:rsid w:val="00A85CDA"/>
    <w:rsid w:val="00A85E0E"/>
    <w:rsid w:val="00A8659C"/>
    <w:rsid w:val="00A8662F"/>
    <w:rsid w:val="00A87A5A"/>
    <w:rsid w:val="00A87B98"/>
    <w:rsid w:val="00A87E7C"/>
    <w:rsid w:val="00A902CD"/>
    <w:rsid w:val="00A90640"/>
    <w:rsid w:val="00A90ABE"/>
    <w:rsid w:val="00A91276"/>
    <w:rsid w:val="00A9176C"/>
    <w:rsid w:val="00A91BD8"/>
    <w:rsid w:val="00A91F30"/>
    <w:rsid w:val="00A92194"/>
    <w:rsid w:val="00A92EDC"/>
    <w:rsid w:val="00A92FEE"/>
    <w:rsid w:val="00A93CA4"/>
    <w:rsid w:val="00A9439B"/>
    <w:rsid w:val="00A94570"/>
    <w:rsid w:val="00A9460F"/>
    <w:rsid w:val="00A95A34"/>
    <w:rsid w:val="00A9709A"/>
    <w:rsid w:val="00A9794C"/>
    <w:rsid w:val="00AA056D"/>
    <w:rsid w:val="00AA0C65"/>
    <w:rsid w:val="00AA1857"/>
    <w:rsid w:val="00AA1A72"/>
    <w:rsid w:val="00AA1E2B"/>
    <w:rsid w:val="00AA2104"/>
    <w:rsid w:val="00AA30D3"/>
    <w:rsid w:val="00AA30F3"/>
    <w:rsid w:val="00AA3EB7"/>
    <w:rsid w:val="00AA3F83"/>
    <w:rsid w:val="00AA4736"/>
    <w:rsid w:val="00AA4788"/>
    <w:rsid w:val="00AA5193"/>
    <w:rsid w:val="00AA555E"/>
    <w:rsid w:val="00AA679C"/>
    <w:rsid w:val="00AA72EF"/>
    <w:rsid w:val="00AA7A44"/>
    <w:rsid w:val="00AA7AAC"/>
    <w:rsid w:val="00AA7D71"/>
    <w:rsid w:val="00AB012C"/>
    <w:rsid w:val="00AB1B6D"/>
    <w:rsid w:val="00AB20DC"/>
    <w:rsid w:val="00AB3FCF"/>
    <w:rsid w:val="00AB4395"/>
    <w:rsid w:val="00AB46BB"/>
    <w:rsid w:val="00AB4810"/>
    <w:rsid w:val="00AB4998"/>
    <w:rsid w:val="00AB4F21"/>
    <w:rsid w:val="00AB52FA"/>
    <w:rsid w:val="00AB5590"/>
    <w:rsid w:val="00AB64E9"/>
    <w:rsid w:val="00AB68C8"/>
    <w:rsid w:val="00AB6F66"/>
    <w:rsid w:val="00AB71BA"/>
    <w:rsid w:val="00AB7202"/>
    <w:rsid w:val="00AB76DC"/>
    <w:rsid w:val="00AB781E"/>
    <w:rsid w:val="00AB797E"/>
    <w:rsid w:val="00AC020A"/>
    <w:rsid w:val="00AC0291"/>
    <w:rsid w:val="00AC03E2"/>
    <w:rsid w:val="00AC1125"/>
    <w:rsid w:val="00AC141B"/>
    <w:rsid w:val="00AC1B26"/>
    <w:rsid w:val="00AC1B6E"/>
    <w:rsid w:val="00AC2390"/>
    <w:rsid w:val="00AC24C9"/>
    <w:rsid w:val="00AC2977"/>
    <w:rsid w:val="00AC29F2"/>
    <w:rsid w:val="00AC2EE0"/>
    <w:rsid w:val="00AC3C5D"/>
    <w:rsid w:val="00AC4080"/>
    <w:rsid w:val="00AC4198"/>
    <w:rsid w:val="00AC4541"/>
    <w:rsid w:val="00AC4B03"/>
    <w:rsid w:val="00AC56E6"/>
    <w:rsid w:val="00AC5E98"/>
    <w:rsid w:val="00AC63FF"/>
    <w:rsid w:val="00AC6A45"/>
    <w:rsid w:val="00AC6B1A"/>
    <w:rsid w:val="00AC783C"/>
    <w:rsid w:val="00AC796F"/>
    <w:rsid w:val="00AC7C81"/>
    <w:rsid w:val="00AC7EAE"/>
    <w:rsid w:val="00AD04F9"/>
    <w:rsid w:val="00AD06DF"/>
    <w:rsid w:val="00AD07CA"/>
    <w:rsid w:val="00AD097A"/>
    <w:rsid w:val="00AD0A19"/>
    <w:rsid w:val="00AD15FA"/>
    <w:rsid w:val="00AD1B59"/>
    <w:rsid w:val="00AD2044"/>
    <w:rsid w:val="00AD2A1A"/>
    <w:rsid w:val="00AD2FD1"/>
    <w:rsid w:val="00AD3766"/>
    <w:rsid w:val="00AD4ED4"/>
    <w:rsid w:val="00AD59CB"/>
    <w:rsid w:val="00AD5F99"/>
    <w:rsid w:val="00AD6A79"/>
    <w:rsid w:val="00AD6F73"/>
    <w:rsid w:val="00AD717F"/>
    <w:rsid w:val="00AD7208"/>
    <w:rsid w:val="00AD737D"/>
    <w:rsid w:val="00AD74EE"/>
    <w:rsid w:val="00AD7F60"/>
    <w:rsid w:val="00AE04B4"/>
    <w:rsid w:val="00AE1DCD"/>
    <w:rsid w:val="00AE1F0D"/>
    <w:rsid w:val="00AE225B"/>
    <w:rsid w:val="00AE2709"/>
    <w:rsid w:val="00AE27F3"/>
    <w:rsid w:val="00AE2AD2"/>
    <w:rsid w:val="00AE36AC"/>
    <w:rsid w:val="00AE3B43"/>
    <w:rsid w:val="00AE3D7F"/>
    <w:rsid w:val="00AE439C"/>
    <w:rsid w:val="00AE4B59"/>
    <w:rsid w:val="00AE5C74"/>
    <w:rsid w:val="00AE609A"/>
    <w:rsid w:val="00AE6710"/>
    <w:rsid w:val="00AE684F"/>
    <w:rsid w:val="00AE68B2"/>
    <w:rsid w:val="00AE7674"/>
    <w:rsid w:val="00AE7A82"/>
    <w:rsid w:val="00AF0844"/>
    <w:rsid w:val="00AF10B2"/>
    <w:rsid w:val="00AF12C0"/>
    <w:rsid w:val="00AF1B23"/>
    <w:rsid w:val="00AF1E55"/>
    <w:rsid w:val="00AF228A"/>
    <w:rsid w:val="00AF2524"/>
    <w:rsid w:val="00AF260B"/>
    <w:rsid w:val="00AF28A5"/>
    <w:rsid w:val="00AF345B"/>
    <w:rsid w:val="00AF34B9"/>
    <w:rsid w:val="00AF3987"/>
    <w:rsid w:val="00AF43E0"/>
    <w:rsid w:val="00AF47DF"/>
    <w:rsid w:val="00AF4957"/>
    <w:rsid w:val="00AF5C2E"/>
    <w:rsid w:val="00AF664C"/>
    <w:rsid w:val="00AF700F"/>
    <w:rsid w:val="00AF716F"/>
    <w:rsid w:val="00AF759C"/>
    <w:rsid w:val="00AF7C8B"/>
    <w:rsid w:val="00AF7D8A"/>
    <w:rsid w:val="00B00491"/>
    <w:rsid w:val="00B008D4"/>
    <w:rsid w:val="00B00F0C"/>
    <w:rsid w:val="00B00FB5"/>
    <w:rsid w:val="00B01794"/>
    <w:rsid w:val="00B01A77"/>
    <w:rsid w:val="00B01FBC"/>
    <w:rsid w:val="00B03C64"/>
    <w:rsid w:val="00B03D63"/>
    <w:rsid w:val="00B03EF6"/>
    <w:rsid w:val="00B0406F"/>
    <w:rsid w:val="00B04140"/>
    <w:rsid w:val="00B04357"/>
    <w:rsid w:val="00B04BB4"/>
    <w:rsid w:val="00B04BB6"/>
    <w:rsid w:val="00B05320"/>
    <w:rsid w:val="00B057BF"/>
    <w:rsid w:val="00B06C5F"/>
    <w:rsid w:val="00B101F2"/>
    <w:rsid w:val="00B112D0"/>
    <w:rsid w:val="00B1163E"/>
    <w:rsid w:val="00B1179E"/>
    <w:rsid w:val="00B117B2"/>
    <w:rsid w:val="00B11AEB"/>
    <w:rsid w:val="00B11DBF"/>
    <w:rsid w:val="00B1282A"/>
    <w:rsid w:val="00B12F23"/>
    <w:rsid w:val="00B13ABB"/>
    <w:rsid w:val="00B13C05"/>
    <w:rsid w:val="00B13DD3"/>
    <w:rsid w:val="00B1410D"/>
    <w:rsid w:val="00B14971"/>
    <w:rsid w:val="00B14D3C"/>
    <w:rsid w:val="00B154C5"/>
    <w:rsid w:val="00B15610"/>
    <w:rsid w:val="00B158BB"/>
    <w:rsid w:val="00B15FA6"/>
    <w:rsid w:val="00B16522"/>
    <w:rsid w:val="00B20C65"/>
    <w:rsid w:val="00B21567"/>
    <w:rsid w:val="00B2183F"/>
    <w:rsid w:val="00B21DF6"/>
    <w:rsid w:val="00B21E31"/>
    <w:rsid w:val="00B220D2"/>
    <w:rsid w:val="00B2214A"/>
    <w:rsid w:val="00B221E5"/>
    <w:rsid w:val="00B22708"/>
    <w:rsid w:val="00B22801"/>
    <w:rsid w:val="00B229A3"/>
    <w:rsid w:val="00B2374C"/>
    <w:rsid w:val="00B23A7F"/>
    <w:rsid w:val="00B242BE"/>
    <w:rsid w:val="00B24305"/>
    <w:rsid w:val="00B24525"/>
    <w:rsid w:val="00B251A5"/>
    <w:rsid w:val="00B2580A"/>
    <w:rsid w:val="00B25A3D"/>
    <w:rsid w:val="00B25CE9"/>
    <w:rsid w:val="00B2677A"/>
    <w:rsid w:val="00B27487"/>
    <w:rsid w:val="00B27935"/>
    <w:rsid w:val="00B27F54"/>
    <w:rsid w:val="00B3029C"/>
    <w:rsid w:val="00B30D24"/>
    <w:rsid w:val="00B31815"/>
    <w:rsid w:val="00B31834"/>
    <w:rsid w:val="00B318B1"/>
    <w:rsid w:val="00B319D2"/>
    <w:rsid w:val="00B31B5B"/>
    <w:rsid w:val="00B32450"/>
    <w:rsid w:val="00B327FE"/>
    <w:rsid w:val="00B337E4"/>
    <w:rsid w:val="00B33D5D"/>
    <w:rsid w:val="00B33F9D"/>
    <w:rsid w:val="00B34973"/>
    <w:rsid w:val="00B34F6F"/>
    <w:rsid w:val="00B35039"/>
    <w:rsid w:val="00B35827"/>
    <w:rsid w:val="00B3697B"/>
    <w:rsid w:val="00B36BF5"/>
    <w:rsid w:val="00B37702"/>
    <w:rsid w:val="00B37867"/>
    <w:rsid w:val="00B37D12"/>
    <w:rsid w:val="00B40084"/>
    <w:rsid w:val="00B40F5A"/>
    <w:rsid w:val="00B4119E"/>
    <w:rsid w:val="00B41814"/>
    <w:rsid w:val="00B4246C"/>
    <w:rsid w:val="00B42C5C"/>
    <w:rsid w:val="00B42CEB"/>
    <w:rsid w:val="00B42E78"/>
    <w:rsid w:val="00B4336A"/>
    <w:rsid w:val="00B43A10"/>
    <w:rsid w:val="00B44692"/>
    <w:rsid w:val="00B44BF6"/>
    <w:rsid w:val="00B459C6"/>
    <w:rsid w:val="00B46C5E"/>
    <w:rsid w:val="00B5030F"/>
    <w:rsid w:val="00B506E0"/>
    <w:rsid w:val="00B5082A"/>
    <w:rsid w:val="00B5123D"/>
    <w:rsid w:val="00B513CC"/>
    <w:rsid w:val="00B515FD"/>
    <w:rsid w:val="00B516B4"/>
    <w:rsid w:val="00B51B29"/>
    <w:rsid w:val="00B524D9"/>
    <w:rsid w:val="00B527B4"/>
    <w:rsid w:val="00B53278"/>
    <w:rsid w:val="00B54AE5"/>
    <w:rsid w:val="00B54F55"/>
    <w:rsid w:val="00B55882"/>
    <w:rsid w:val="00B55AB2"/>
    <w:rsid w:val="00B563B4"/>
    <w:rsid w:val="00B56430"/>
    <w:rsid w:val="00B5654B"/>
    <w:rsid w:val="00B56C75"/>
    <w:rsid w:val="00B57177"/>
    <w:rsid w:val="00B60499"/>
    <w:rsid w:val="00B612F7"/>
    <w:rsid w:val="00B614AF"/>
    <w:rsid w:val="00B617D0"/>
    <w:rsid w:val="00B62089"/>
    <w:rsid w:val="00B626ED"/>
    <w:rsid w:val="00B63B79"/>
    <w:rsid w:val="00B63F37"/>
    <w:rsid w:val="00B640D1"/>
    <w:rsid w:val="00B648D1"/>
    <w:rsid w:val="00B665E8"/>
    <w:rsid w:val="00B66992"/>
    <w:rsid w:val="00B66F28"/>
    <w:rsid w:val="00B678B6"/>
    <w:rsid w:val="00B67E16"/>
    <w:rsid w:val="00B7000D"/>
    <w:rsid w:val="00B7004F"/>
    <w:rsid w:val="00B701DB"/>
    <w:rsid w:val="00B702CF"/>
    <w:rsid w:val="00B7064A"/>
    <w:rsid w:val="00B70A72"/>
    <w:rsid w:val="00B70DCA"/>
    <w:rsid w:val="00B7184D"/>
    <w:rsid w:val="00B72A9B"/>
    <w:rsid w:val="00B72F78"/>
    <w:rsid w:val="00B731D8"/>
    <w:rsid w:val="00B7333A"/>
    <w:rsid w:val="00B73419"/>
    <w:rsid w:val="00B7356D"/>
    <w:rsid w:val="00B7367A"/>
    <w:rsid w:val="00B73E60"/>
    <w:rsid w:val="00B7430E"/>
    <w:rsid w:val="00B749F7"/>
    <w:rsid w:val="00B75EBF"/>
    <w:rsid w:val="00B76005"/>
    <w:rsid w:val="00B760A9"/>
    <w:rsid w:val="00B7663A"/>
    <w:rsid w:val="00B7683D"/>
    <w:rsid w:val="00B76C89"/>
    <w:rsid w:val="00B805C6"/>
    <w:rsid w:val="00B80C3E"/>
    <w:rsid w:val="00B816AA"/>
    <w:rsid w:val="00B81E6B"/>
    <w:rsid w:val="00B82420"/>
    <w:rsid w:val="00B82768"/>
    <w:rsid w:val="00B83172"/>
    <w:rsid w:val="00B83F25"/>
    <w:rsid w:val="00B84101"/>
    <w:rsid w:val="00B8444C"/>
    <w:rsid w:val="00B84784"/>
    <w:rsid w:val="00B85AEF"/>
    <w:rsid w:val="00B85E77"/>
    <w:rsid w:val="00B86541"/>
    <w:rsid w:val="00B8756C"/>
    <w:rsid w:val="00B878F2"/>
    <w:rsid w:val="00B87D3F"/>
    <w:rsid w:val="00B90D80"/>
    <w:rsid w:val="00B91452"/>
    <w:rsid w:val="00B91A27"/>
    <w:rsid w:val="00B91FEB"/>
    <w:rsid w:val="00B92224"/>
    <w:rsid w:val="00B92466"/>
    <w:rsid w:val="00B92790"/>
    <w:rsid w:val="00B92CB6"/>
    <w:rsid w:val="00B931D3"/>
    <w:rsid w:val="00B93506"/>
    <w:rsid w:val="00B93579"/>
    <w:rsid w:val="00B940F3"/>
    <w:rsid w:val="00B94178"/>
    <w:rsid w:val="00B94ADC"/>
    <w:rsid w:val="00B94B7B"/>
    <w:rsid w:val="00B94CE4"/>
    <w:rsid w:val="00B952BB"/>
    <w:rsid w:val="00B95C6C"/>
    <w:rsid w:val="00B96744"/>
    <w:rsid w:val="00B970D5"/>
    <w:rsid w:val="00B9731D"/>
    <w:rsid w:val="00B9760C"/>
    <w:rsid w:val="00B97DDB"/>
    <w:rsid w:val="00BA0294"/>
    <w:rsid w:val="00BA1BF1"/>
    <w:rsid w:val="00BA260A"/>
    <w:rsid w:val="00BA2DEA"/>
    <w:rsid w:val="00BA31A1"/>
    <w:rsid w:val="00BA31B9"/>
    <w:rsid w:val="00BA4F57"/>
    <w:rsid w:val="00BA590F"/>
    <w:rsid w:val="00BA5BA9"/>
    <w:rsid w:val="00BA5DBD"/>
    <w:rsid w:val="00BA5DED"/>
    <w:rsid w:val="00BA5E45"/>
    <w:rsid w:val="00BA6048"/>
    <w:rsid w:val="00BA6055"/>
    <w:rsid w:val="00BA63E4"/>
    <w:rsid w:val="00BA6BC8"/>
    <w:rsid w:val="00BA753C"/>
    <w:rsid w:val="00BA75C2"/>
    <w:rsid w:val="00BA7845"/>
    <w:rsid w:val="00BA7BB5"/>
    <w:rsid w:val="00BB093A"/>
    <w:rsid w:val="00BB1480"/>
    <w:rsid w:val="00BB148B"/>
    <w:rsid w:val="00BB1623"/>
    <w:rsid w:val="00BB1D4E"/>
    <w:rsid w:val="00BB2CE6"/>
    <w:rsid w:val="00BB30FA"/>
    <w:rsid w:val="00BB39F4"/>
    <w:rsid w:val="00BB3ED7"/>
    <w:rsid w:val="00BB3F44"/>
    <w:rsid w:val="00BB4121"/>
    <w:rsid w:val="00BB4BB0"/>
    <w:rsid w:val="00BB4EB1"/>
    <w:rsid w:val="00BB50FB"/>
    <w:rsid w:val="00BB5252"/>
    <w:rsid w:val="00BB5868"/>
    <w:rsid w:val="00BB5A8F"/>
    <w:rsid w:val="00BB6686"/>
    <w:rsid w:val="00BB68C9"/>
    <w:rsid w:val="00BB7235"/>
    <w:rsid w:val="00BB725D"/>
    <w:rsid w:val="00BB73F2"/>
    <w:rsid w:val="00BB779B"/>
    <w:rsid w:val="00BB7BEC"/>
    <w:rsid w:val="00BC05C5"/>
    <w:rsid w:val="00BC114E"/>
    <w:rsid w:val="00BC1341"/>
    <w:rsid w:val="00BC155E"/>
    <w:rsid w:val="00BC1808"/>
    <w:rsid w:val="00BC23E2"/>
    <w:rsid w:val="00BC2E0A"/>
    <w:rsid w:val="00BC2EBD"/>
    <w:rsid w:val="00BC2EDB"/>
    <w:rsid w:val="00BC363B"/>
    <w:rsid w:val="00BC37BE"/>
    <w:rsid w:val="00BC395F"/>
    <w:rsid w:val="00BC47D3"/>
    <w:rsid w:val="00BC4F60"/>
    <w:rsid w:val="00BC50BA"/>
    <w:rsid w:val="00BC53CD"/>
    <w:rsid w:val="00BC5E45"/>
    <w:rsid w:val="00BC604F"/>
    <w:rsid w:val="00BC6591"/>
    <w:rsid w:val="00BC69DF"/>
    <w:rsid w:val="00BC73AB"/>
    <w:rsid w:val="00BD0096"/>
    <w:rsid w:val="00BD03CE"/>
    <w:rsid w:val="00BD03D8"/>
    <w:rsid w:val="00BD042B"/>
    <w:rsid w:val="00BD06BD"/>
    <w:rsid w:val="00BD1E1E"/>
    <w:rsid w:val="00BD21A4"/>
    <w:rsid w:val="00BD237E"/>
    <w:rsid w:val="00BD2458"/>
    <w:rsid w:val="00BD2A27"/>
    <w:rsid w:val="00BD2ADE"/>
    <w:rsid w:val="00BD2B0F"/>
    <w:rsid w:val="00BD2C21"/>
    <w:rsid w:val="00BD3183"/>
    <w:rsid w:val="00BD32FE"/>
    <w:rsid w:val="00BD3FDF"/>
    <w:rsid w:val="00BD4788"/>
    <w:rsid w:val="00BD4F10"/>
    <w:rsid w:val="00BD5277"/>
    <w:rsid w:val="00BD5333"/>
    <w:rsid w:val="00BD5A7E"/>
    <w:rsid w:val="00BD6E75"/>
    <w:rsid w:val="00BD71BA"/>
    <w:rsid w:val="00BD76B9"/>
    <w:rsid w:val="00BD7C54"/>
    <w:rsid w:val="00BE013F"/>
    <w:rsid w:val="00BE1462"/>
    <w:rsid w:val="00BE17B1"/>
    <w:rsid w:val="00BE1D44"/>
    <w:rsid w:val="00BE27A1"/>
    <w:rsid w:val="00BE52CD"/>
    <w:rsid w:val="00BE531D"/>
    <w:rsid w:val="00BE54A5"/>
    <w:rsid w:val="00BE6316"/>
    <w:rsid w:val="00BE64DB"/>
    <w:rsid w:val="00BE64F2"/>
    <w:rsid w:val="00BE6C16"/>
    <w:rsid w:val="00BE6CA1"/>
    <w:rsid w:val="00BE74FA"/>
    <w:rsid w:val="00BE7795"/>
    <w:rsid w:val="00BF076C"/>
    <w:rsid w:val="00BF0FA1"/>
    <w:rsid w:val="00BF13DD"/>
    <w:rsid w:val="00BF13E2"/>
    <w:rsid w:val="00BF1576"/>
    <w:rsid w:val="00BF1801"/>
    <w:rsid w:val="00BF1FE5"/>
    <w:rsid w:val="00BF2447"/>
    <w:rsid w:val="00BF2524"/>
    <w:rsid w:val="00BF26CB"/>
    <w:rsid w:val="00BF29B1"/>
    <w:rsid w:val="00BF2A1A"/>
    <w:rsid w:val="00BF2EB8"/>
    <w:rsid w:val="00BF35A7"/>
    <w:rsid w:val="00BF3672"/>
    <w:rsid w:val="00BF3830"/>
    <w:rsid w:val="00BF3B19"/>
    <w:rsid w:val="00BF3C76"/>
    <w:rsid w:val="00BF3F0B"/>
    <w:rsid w:val="00BF44AE"/>
    <w:rsid w:val="00BF4DFD"/>
    <w:rsid w:val="00BF577F"/>
    <w:rsid w:val="00BF6D1C"/>
    <w:rsid w:val="00BF7A8E"/>
    <w:rsid w:val="00C01436"/>
    <w:rsid w:val="00C01BED"/>
    <w:rsid w:val="00C01FB4"/>
    <w:rsid w:val="00C03226"/>
    <w:rsid w:val="00C0351E"/>
    <w:rsid w:val="00C03A86"/>
    <w:rsid w:val="00C041AF"/>
    <w:rsid w:val="00C0422A"/>
    <w:rsid w:val="00C048AD"/>
    <w:rsid w:val="00C04CDF"/>
    <w:rsid w:val="00C04DC3"/>
    <w:rsid w:val="00C05754"/>
    <w:rsid w:val="00C057C1"/>
    <w:rsid w:val="00C059AC"/>
    <w:rsid w:val="00C059D5"/>
    <w:rsid w:val="00C05E4D"/>
    <w:rsid w:val="00C05F12"/>
    <w:rsid w:val="00C065F5"/>
    <w:rsid w:val="00C066FC"/>
    <w:rsid w:val="00C06715"/>
    <w:rsid w:val="00C06B48"/>
    <w:rsid w:val="00C073DC"/>
    <w:rsid w:val="00C10613"/>
    <w:rsid w:val="00C11A63"/>
    <w:rsid w:val="00C11AA2"/>
    <w:rsid w:val="00C120BE"/>
    <w:rsid w:val="00C1258D"/>
    <w:rsid w:val="00C12A85"/>
    <w:rsid w:val="00C12DD9"/>
    <w:rsid w:val="00C13D1D"/>
    <w:rsid w:val="00C143C5"/>
    <w:rsid w:val="00C151BB"/>
    <w:rsid w:val="00C15373"/>
    <w:rsid w:val="00C15A3C"/>
    <w:rsid w:val="00C15BA9"/>
    <w:rsid w:val="00C15CA2"/>
    <w:rsid w:val="00C15FAF"/>
    <w:rsid w:val="00C161F6"/>
    <w:rsid w:val="00C162AA"/>
    <w:rsid w:val="00C166FB"/>
    <w:rsid w:val="00C16910"/>
    <w:rsid w:val="00C17651"/>
    <w:rsid w:val="00C17FEF"/>
    <w:rsid w:val="00C210A3"/>
    <w:rsid w:val="00C21E18"/>
    <w:rsid w:val="00C22756"/>
    <w:rsid w:val="00C227B1"/>
    <w:rsid w:val="00C22825"/>
    <w:rsid w:val="00C22872"/>
    <w:rsid w:val="00C22A0E"/>
    <w:rsid w:val="00C22C35"/>
    <w:rsid w:val="00C23623"/>
    <w:rsid w:val="00C2374C"/>
    <w:rsid w:val="00C24029"/>
    <w:rsid w:val="00C243AE"/>
    <w:rsid w:val="00C24891"/>
    <w:rsid w:val="00C25943"/>
    <w:rsid w:val="00C25E0C"/>
    <w:rsid w:val="00C2699B"/>
    <w:rsid w:val="00C269C9"/>
    <w:rsid w:val="00C26A7D"/>
    <w:rsid w:val="00C26BE7"/>
    <w:rsid w:val="00C26E27"/>
    <w:rsid w:val="00C26FEF"/>
    <w:rsid w:val="00C276BC"/>
    <w:rsid w:val="00C30E14"/>
    <w:rsid w:val="00C310F4"/>
    <w:rsid w:val="00C31262"/>
    <w:rsid w:val="00C31B3A"/>
    <w:rsid w:val="00C32158"/>
    <w:rsid w:val="00C32252"/>
    <w:rsid w:val="00C326B4"/>
    <w:rsid w:val="00C32CAB"/>
    <w:rsid w:val="00C3317B"/>
    <w:rsid w:val="00C33288"/>
    <w:rsid w:val="00C3399E"/>
    <w:rsid w:val="00C33D6A"/>
    <w:rsid w:val="00C33F56"/>
    <w:rsid w:val="00C34947"/>
    <w:rsid w:val="00C349B3"/>
    <w:rsid w:val="00C34E1A"/>
    <w:rsid w:val="00C35208"/>
    <w:rsid w:val="00C356DF"/>
    <w:rsid w:val="00C36074"/>
    <w:rsid w:val="00C3636E"/>
    <w:rsid w:val="00C36B63"/>
    <w:rsid w:val="00C36C62"/>
    <w:rsid w:val="00C374F5"/>
    <w:rsid w:val="00C3793E"/>
    <w:rsid w:val="00C37CE8"/>
    <w:rsid w:val="00C37DD7"/>
    <w:rsid w:val="00C4001B"/>
    <w:rsid w:val="00C40570"/>
    <w:rsid w:val="00C40657"/>
    <w:rsid w:val="00C40BC9"/>
    <w:rsid w:val="00C41005"/>
    <w:rsid w:val="00C4125F"/>
    <w:rsid w:val="00C420BE"/>
    <w:rsid w:val="00C42F86"/>
    <w:rsid w:val="00C43146"/>
    <w:rsid w:val="00C43773"/>
    <w:rsid w:val="00C43D78"/>
    <w:rsid w:val="00C44115"/>
    <w:rsid w:val="00C4559A"/>
    <w:rsid w:val="00C45C99"/>
    <w:rsid w:val="00C46433"/>
    <w:rsid w:val="00C46627"/>
    <w:rsid w:val="00C46706"/>
    <w:rsid w:val="00C46DB4"/>
    <w:rsid w:val="00C46E9D"/>
    <w:rsid w:val="00C47BC7"/>
    <w:rsid w:val="00C47FFC"/>
    <w:rsid w:val="00C50008"/>
    <w:rsid w:val="00C503A8"/>
    <w:rsid w:val="00C51250"/>
    <w:rsid w:val="00C518BA"/>
    <w:rsid w:val="00C5223C"/>
    <w:rsid w:val="00C52B70"/>
    <w:rsid w:val="00C52C9E"/>
    <w:rsid w:val="00C531FF"/>
    <w:rsid w:val="00C5378F"/>
    <w:rsid w:val="00C53D04"/>
    <w:rsid w:val="00C54372"/>
    <w:rsid w:val="00C54586"/>
    <w:rsid w:val="00C54B8E"/>
    <w:rsid w:val="00C559C5"/>
    <w:rsid w:val="00C55DA1"/>
    <w:rsid w:val="00C55EB1"/>
    <w:rsid w:val="00C5638D"/>
    <w:rsid w:val="00C569BB"/>
    <w:rsid w:val="00C56F53"/>
    <w:rsid w:val="00C57394"/>
    <w:rsid w:val="00C57A44"/>
    <w:rsid w:val="00C57F18"/>
    <w:rsid w:val="00C6059D"/>
    <w:rsid w:val="00C61049"/>
    <w:rsid w:val="00C6115F"/>
    <w:rsid w:val="00C61226"/>
    <w:rsid w:val="00C6202F"/>
    <w:rsid w:val="00C62542"/>
    <w:rsid w:val="00C62D05"/>
    <w:rsid w:val="00C6302F"/>
    <w:rsid w:val="00C632E2"/>
    <w:rsid w:val="00C64C67"/>
    <w:rsid w:val="00C657D0"/>
    <w:rsid w:val="00C65A4F"/>
    <w:rsid w:val="00C65BB3"/>
    <w:rsid w:val="00C66822"/>
    <w:rsid w:val="00C66F28"/>
    <w:rsid w:val="00C672B1"/>
    <w:rsid w:val="00C67FA5"/>
    <w:rsid w:val="00C700A0"/>
    <w:rsid w:val="00C70609"/>
    <w:rsid w:val="00C70714"/>
    <w:rsid w:val="00C70794"/>
    <w:rsid w:val="00C70883"/>
    <w:rsid w:val="00C708E0"/>
    <w:rsid w:val="00C71880"/>
    <w:rsid w:val="00C71911"/>
    <w:rsid w:val="00C71C65"/>
    <w:rsid w:val="00C726FF"/>
    <w:rsid w:val="00C72923"/>
    <w:rsid w:val="00C72C51"/>
    <w:rsid w:val="00C72FEA"/>
    <w:rsid w:val="00C73BFE"/>
    <w:rsid w:val="00C73C88"/>
    <w:rsid w:val="00C73D02"/>
    <w:rsid w:val="00C73E32"/>
    <w:rsid w:val="00C75397"/>
    <w:rsid w:val="00C75723"/>
    <w:rsid w:val="00C7594F"/>
    <w:rsid w:val="00C759B6"/>
    <w:rsid w:val="00C75ADF"/>
    <w:rsid w:val="00C75B5C"/>
    <w:rsid w:val="00C76683"/>
    <w:rsid w:val="00C775B0"/>
    <w:rsid w:val="00C777DE"/>
    <w:rsid w:val="00C77AC4"/>
    <w:rsid w:val="00C77D46"/>
    <w:rsid w:val="00C77FA3"/>
    <w:rsid w:val="00C77FBA"/>
    <w:rsid w:val="00C80121"/>
    <w:rsid w:val="00C804AE"/>
    <w:rsid w:val="00C804FE"/>
    <w:rsid w:val="00C812B4"/>
    <w:rsid w:val="00C8150E"/>
    <w:rsid w:val="00C815CF"/>
    <w:rsid w:val="00C81BE8"/>
    <w:rsid w:val="00C8203D"/>
    <w:rsid w:val="00C82217"/>
    <w:rsid w:val="00C8274D"/>
    <w:rsid w:val="00C836AA"/>
    <w:rsid w:val="00C83F66"/>
    <w:rsid w:val="00C8479D"/>
    <w:rsid w:val="00C84BD4"/>
    <w:rsid w:val="00C84DC9"/>
    <w:rsid w:val="00C85911"/>
    <w:rsid w:val="00C85A05"/>
    <w:rsid w:val="00C85AA6"/>
    <w:rsid w:val="00C86B42"/>
    <w:rsid w:val="00C86BD3"/>
    <w:rsid w:val="00C87007"/>
    <w:rsid w:val="00C87891"/>
    <w:rsid w:val="00C87DF9"/>
    <w:rsid w:val="00C90703"/>
    <w:rsid w:val="00C90948"/>
    <w:rsid w:val="00C90EDB"/>
    <w:rsid w:val="00C913D4"/>
    <w:rsid w:val="00C91AC2"/>
    <w:rsid w:val="00C9225C"/>
    <w:rsid w:val="00C92354"/>
    <w:rsid w:val="00C927BE"/>
    <w:rsid w:val="00C92E4C"/>
    <w:rsid w:val="00C93731"/>
    <w:rsid w:val="00C9484A"/>
    <w:rsid w:val="00C94B22"/>
    <w:rsid w:val="00C94CD2"/>
    <w:rsid w:val="00C9565A"/>
    <w:rsid w:val="00C9567B"/>
    <w:rsid w:val="00C95C5C"/>
    <w:rsid w:val="00C95EB1"/>
    <w:rsid w:val="00C96778"/>
    <w:rsid w:val="00C9687A"/>
    <w:rsid w:val="00C96FA7"/>
    <w:rsid w:val="00C9700F"/>
    <w:rsid w:val="00C9772B"/>
    <w:rsid w:val="00CA0199"/>
    <w:rsid w:val="00CA082E"/>
    <w:rsid w:val="00CA1B97"/>
    <w:rsid w:val="00CA212F"/>
    <w:rsid w:val="00CA220A"/>
    <w:rsid w:val="00CA2B94"/>
    <w:rsid w:val="00CA2C44"/>
    <w:rsid w:val="00CA2F25"/>
    <w:rsid w:val="00CA31FE"/>
    <w:rsid w:val="00CA359D"/>
    <w:rsid w:val="00CA36C4"/>
    <w:rsid w:val="00CA3AD4"/>
    <w:rsid w:val="00CA4078"/>
    <w:rsid w:val="00CA42EB"/>
    <w:rsid w:val="00CA4697"/>
    <w:rsid w:val="00CA4FA1"/>
    <w:rsid w:val="00CA5385"/>
    <w:rsid w:val="00CA5B5B"/>
    <w:rsid w:val="00CA66AF"/>
    <w:rsid w:val="00CA6ED1"/>
    <w:rsid w:val="00CA736D"/>
    <w:rsid w:val="00CA7509"/>
    <w:rsid w:val="00CB012C"/>
    <w:rsid w:val="00CB086D"/>
    <w:rsid w:val="00CB100F"/>
    <w:rsid w:val="00CB11E3"/>
    <w:rsid w:val="00CB1BA6"/>
    <w:rsid w:val="00CB1DE4"/>
    <w:rsid w:val="00CB2DB5"/>
    <w:rsid w:val="00CB3731"/>
    <w:rsid w:val="00CB3A8E"/>
    <w:rsid w:val="00CB4CD8"/>
    <w:rsid w:val="00CB4D87"/>
    <w:rsid w:val="00CB528C"/>
    <w:rsid w:val="00CB5CC4"/>
    <w:rsid w:val="00CB5D7A"/>
    <w:rsid w:val="00CB6010"/>
    <w:rsid w:val="00CB60AF"/>
    <w:rsid w:val="00CB6248"/>
    <w:rsid w:val="00CB66F7"/>
    <w:rsid w:val="00CB6C3A"/>
    <w:rsid w:val="00CB6E93"/>
    <w:rsid w:val="00CB70EE"/>
    <w:rsid w:val="00CB7179"/>
    <w:rsid w:val="00CB74E1"/>
    <w:rsid w:val="00CB7B3B"/>
    <w:rsid w:val="00CC0A35"/>
    <w:rsid w:val="00CC0B41"/>
    <w:rsid w:val="00CC1475"/>
    <w:rsid w:val="00CC15BA"/>
    <w:rsid w:val="00CC1712"/>
    <w:rsid w:val="00CC2AD1"/>
    <w:rsid w:val="00CC34D7"/>
    <w:rsid w:val="00CC34E4"/>
    <w:rsid w:val="00CC3B4C"/>
    <w:rsid w:val="00CC3C5D"/>
    <w:rsid w:val="00CC4963"/>
    <w:rsid w:val="00CC4DA0"/>
    <w:rsid w:val="00CC4DF4"/>
    <w:rsid w:val="00CC5C79"/>
    <w:rsid w:val="00CC6A93"/>
    <w:rsid w:val="00CC6FFD"/>
    <w:rsid w:val="00CC7398"/>
    <w:rsid w:val="00CC795F"/>
    <w:rsid w:val="00CD03B2"/>
    <w:rsid w:val="00CD0AFF"/>
    <w:rsid w:val="00CD0CE8"/>
    <w:rsid w:val="00CD11D4"/>
    <w:rsid w:val="00CD21EC"/>
    <w:rsid w:val="00CD2E5C"/>
    <w:rsid w:val="00CD3529"/>
    <w:rsid w:val="00CD3A2D"/>
    <w:rsid w:val="00CD5AEB"/>
    <w:rsid w:val="00CD5DE7"/>
    <w:rsid w:val="00CD609B"/>
    <w:rsid w:val="00CD61EA"/>
    <w:rsid w:val="00CD6629"/>
    <w:rsid w:val="00CD6BF3"/>
    <w:rsid w:val="00CD711B"/>
    <w:rsid w:val="00CD71BE"/>
    <w:rsid w:val="00CE150E"/>
    <w:rsid w:val="00CE17E9"/>
    <w:rsid w:val="00CE216C"/>
    <w:rsid w:val="00CE24E3"/>
    <w:rsid w:val="00CE2A7F"/>
    <w:rsid w:val="00CE2DD7"/>
    <w:rsid w:val="00CE325D"/>
    <w:rsid w:val="00CE3CEE"/>
    <w:rsid w:val="00CE517A"/>
    <w:rsid w:val="00CE555D"/>
    <w:rsid w:val="00CE580E"/>
    <w:rsid w:val="00CE79E2"/>
    <w:rsid w:val="00CE7BAB"/>
    <w:rsid w:val="00CE7C82"/>
    <w:rsid w:val="00CF1A62"/>
    <w:rsid w:val="00CF2EE9"/>
    <w:rsid w:val="00CF3671"/>
    <w:rsid w:val="00CF3A01"/>
    <w:rsid w:val="00CF3CD2"/>
    <w:rsid w:val="00CF460D"/>
    <w:rsid w:val="00CF57C8"/>
    <w:rsid w:val="00CF6004"/>
    <w:rsid w:val="00CF6A7D"/>
    <w:rsid w:val="00CF6E01"/>
    <w:rsid w:val="00CF74CE"/>
    <w:rsid w:val="00CF7AFE"/>
    <w:rsid w:val="00CF7F24"/>
    <w:rsid w:val="00CF7F8E"/>
    <w:rsid w:val="00D0006C"/>
    <w:rsid w:val="00D00154"/>
    <w:rsid w:val="00D001E3"/>
    <w:rsid w:val="00D00271"/>
    <w:rsid w:val="00D007E6"/>
    <w:rsid w:val="00D008F7"/>
    <w:rsid w:val="00D023E2"/>
    <w:rsid w:val="00D029F8"/>
    <w:rsid w:val="00D02CDF"/>
    <w:rsid w:val="00D0307C"/>
    <w:rsid w:val="00D030FC"/>
    <w:rsid w:val="00D0322C"/>
    <w:rsid w:val="00D03C5C"/>
    <w:rsid w:val="00D03E5F"/>
    <w:rsid w:val="00D046A8"/>
    <w:rsid w:val="00D048A6"/>
    <w:rsid w:val="00D05AA0"/>
    <w:rsid w:val="00D061CA"/>
    <w:rsid w:val="00D06385"/>
    <w:rsid w:val="00D06391"/>
    <w:rsid w:val="00D063E6"/>
    <w:rsid w:val="00D0658C"/>
    <w:rsid w:val="00D06CB0"/>
    <w:rsid w:val="00D07082"/>
    <w:rsid w:val="00D07940"/>
    <w:rsid w:val="00D07E15"/>
    <w:rsid w:val="00D10035"/>
    <w:rsid w:val="00D1008E"/>
    <w:rsid w:val="00D10532"/>
    <w:rsid w:val="00D10679"/>
    <w:rsid w:val="00D107C6"/>
    <w:rsid w:val="00D10D20"/>
    <w:rsid w:val="00D11486"/>
    <w:rsid w:val="00D115D6"/>
    <w:rsid w:val="00D135D4"/>
    <w:rsid w:val="00D136DD"/>
    <w:rsid w:val="00D13C53"/>
    <w:rsid w:val="00D14797"/>
    <w:rsid w:val="00D15005"/>
    <w:rsid w:val="00D157FF"/>
    <w:rsid w:val="00D16C06"/>
    <w:rsid w:val="00D16C33"/>
    <w:rsid w:val="00D16EAB"/>
    <w:rsid w:val="00D1734A"/>
    <w:rsid w:val="00D1773B"/>
    <w:rsid w:val="00D204BC"/>
    <w:rsid w:val="00D2064C"/>
    <w:rsid w:val="00D20A45"/>
    <w:rsid w:val="00D20E03"/>
    <w:rsid w:val="00D21579"/>
    <w:rsid w:val="00D215A7"/>
    <w:rsid w:val="00D215B5"/>
    <w:rsid w:val="00D23B06"/>
    <w:rsid w:val="00D24103"/>
    <w:rsid w:val="00D24C95"/>
    <w:rsid w:val="00D2566C"/>
    <w:rsid w:val="00D25C30"/>
    <w:rsid w:val="00D25C37"/>
    <w:rsid w:val="00D25FF1"/>
    <w:rsid w:val="00D261EC"/>
    <w:rsid w:val="00D2650B"/>
    <w:rsid w:val="00D26999"/>
    <w:rsid w:val="00D26C4A"/>
    <w:rsid w:val="00D26D46"/>
    <w:rsid w:val="00D26D6B"/>
    <w:rsid w:val="00D27328"/>
    <w:rsid w:val="00D27C34"/>
    <w:rsid w:val="00D3006A"/>
    <w:rsid w:val="00D304FD"/>
    <w:rsid w:val="00D306FE"/>
    <w:rsid w:val="00D318DF"/>
    <w:rsid w:val="00D31BF7"/>
    <w:rsid w:val="00D32421"/>
    <w:rsid w:val="00D3288C"/>
    <w:rsid w:val="00D33E79"/>
    <w:rsid w:val="00D34CF1"/>
    <w:rsid w:val="00D350D6"/>
    <w:rsid w:val="00D3565D"/>
    <w:rsid w:val="00D356D1"/>
    <w:rsid w:val="00D3577E"/>
    <w:rsid w:val="00D37AF2"/>
    <w:rsid w:val="00D37AF6"/>
    <w:rsid w:val="00D37FD1"/>
    <w:rsid w:val="00D40A55"/>
    <w:rsid w:val="00D40D79"/>
    <w:rsid w:val="00D40F69"/>
    <w:rsid w:val="00D41488"/>
    <w:rsid w:val="00D415B5"/>
    <w:rsid w:val="00D415B9"/>
    <w:rsid w:val="00D41741"/>
    <w:rsid w:val="00D41AC4"/>
    <w:rsid w:val="00D41B23"/>
    <w:rsid w:val="00D424AD"/>
    <w:rsid w:val="00D4260E"/>
    <w:rsid w:val="00D42F89"/>
    <w:rsid w:val="00D4321E"/>
    <w:rsid w:val="00D43F15"/>
    <w:rsid w:val="00D44766"/>
    <w:rsid w:val="00D451B4"/>
    <w:rsid w:val="00D4536C"/>
    <w:rsid w:val="00D455FE"/>
    <w:rsid w:val="00D47295"/>
    <w:rsid w:val="00D477C1"/>
    <w:rsid w:val="00D478FD"/>
    <w:rsid w:val="00D47DE3"/>
    <w:rsid w:val="00D50032"/>
    <w:rsid w:val="00D51359"/>
    <w:rsid w:val="00D521BE"/>
    <w:rsid w:val="00D52DD1"/>
    <w:rsid w:val="00D52FB1"/>
    <w:rsid w:val="00D538A2"/>
    <w:rsid w:val="00D53E5E"/>
    <w:rsid w:val="00D54A07"/>
    <w:rsid w:val="00D54C6F"/>
    <w:rsid w:val="00D54D4D"/>
    <w:rsid w:val="00D54F0F"/>
    <w:rsid w:val="00D55781"/>
    <w:rsid w:val="00D57089"/>
    <w:rsid w:val="00D5761B"/>
    <w:rsid w:val="00D57E7F"/>
    <w:rsid w:val="00D57EF4"/>
    <w:rsid w:val="00D60BFA"/>
    <w:rsid w:val="00D612E7"/>
    <w:rsid w:val="00D62973"/>
    <w:rsid w:val="00D64399"/>
    <w:rsid w:val="00D6482F"/>
    <w:rsid w:val="00D64D48"/>
    <w:rsid w:val="00D65058"/>
    <w:rsid w:val="00D66003"/>
    <w:rsid w:val="00D663AA"/>
    <w:rsid w:val="00D6657E"/>
    <w:rsid w:val="00D66DF9"/>
    <w:rsid w:val="00D679DC"/>
    <w:rsid w:val="00D67CEF"/>
    <w:rsid w:val="00D70038"/>
    <w:rsid w:val="00D70059"/>
    <w:rsid w:val="00D7025E"/>
    <w:rsid w:val="00D7041F"/>
    <w:rsid w:val="00D706B4"/>
    <w:rsid w:val="00D70D59"/>
    <w:rsid w:val="00D71296"/>
    <w:rsid w:val="00D7156D"/>
    <w:rsid w:val="00D731B2"/>
    <w:rsid w:val="00D73A49"/>
    <w:rsid w:val="00D73A70"/>
    <w:rsid w:val="00D73B8B"/>
    <w:rsid w:val="00D73F9C"/>
    <w:rsid w:val="00D743B0"/>
    <w:rsid w:val="00D744AD"/>
    <w:rsid w:val="00D745F3"/>
    <w:rsid w:val="00D7482B"/>
    <w:rsid w:val="00D74B43"/>
    <w:rsid w:val="00D74DE5"/>
    <w:rsid w:val="00D75294"/>
    <w:rsid w:val="00D75612"/>
    <w:rsid w:val="00D76C39"/>
    <w:rsid w:val="00D76CF4"/>
    <w:rsid w:val="00D7732A"/>
    <w:rsid w:val="00D77639"/>
    <w:rsid w:val="00D779CC"/>
    <w:rsid w:val="00D8019F"/>
    <w:rsid w:val="00D80C32"/>
    <w:rsid w:val="00D81183"/>
    <w:rsid w:val="00D815A9"/>
    <w:rsid w:val="00D81F16"/>
    <w:rsid w:val="00D82FB1"/>
    <w:rsid w:val="00D8449F"/>
    <w:rsid w:val="00D856F9"/>
    <w:rsid w:val="00D871A1"/>
    <w:rsid w:val="00D876DE"/>
    <w:rsid w:val="00D87890"/>
    <w:rsid w:val="00D87A33"/>
    <w:rsid w:val="00D87BF2"/>
    <w:rsid w:val="00D87D75"/>
    <w:rsid w:val="00D87FBE"/>
    <w:rsid w:val="00D90E5D"/>
    <w:rsid w:val="00D911C7"/>
    <w:rsid w:val="00D91563"/>
    <w:rsid w:val="00D91A19"/>
    <w:rsid w:val="00D91BEB"/>
    <w:rsid w:val="00D91F97"/>
    <w:rsid w:val="00D92942"/>
    <w:rsid w:val="00D9296D"/>
    <w:rsid w:val="00D92FE4"/>
    <w:rsid w:val="00D93999"/>
    <w:rsid w:val="00D9403A"/>
    <w:rsid w:val="00D95E6F"/>
    <w:rsid w:val="00D97C2E"/>
    <w:rsid w:val="00D97F0A"/>
    <w:rsid w:val="00DA03BE"/>
    <w:rsid w:val="00DA07D6"/>
    <w:rsid w:val="00DA0CE0"/>
    <w:rsid w:val="00DA13AB"/>
    <w:rsid w:val="00DA1ABD"/>
    <w:rsid w:val="00DA1F3A"/>
    <w:rsid w:val="00DA242A"/>
    <w:rsid w:val="00DA28F3"/>
    <w:rsid w:val="00DA3074"/>
    <w:rsid w:val="00DA35E0"/>
    <w:rsid w:val="00DA39B3"/>
    <w:rsid w:val="00DA47B9"/>
    <w:rsid w:val="00DA5395"/>
    <w:rsid w:val="00DA561C"/>
    <w:rsid w:val="00DA65F4"/>
    <w:rsid w:val="00DA6675"/>
    <w:rsid w:val="00DA676A"/>
    <w:rsid w:val="00DA6A40"/>
    <w:rsid w:val="00DA6E9D"/>
    <w:rsid w:val="00DA7086"/>
    <w:rsid w:val="00DA72C6"/>
    <w:rsid w:val="00DA7C81"/>
    <w:rsid w:val="00DB09AE"/>
    <w:rsid w:val="00DB0A5C"/>
    <w:rsid w:val="00DB1BDD"/>
    <w:rsid w:val="00DB27C0"/>
    <w:rsid w:val="00DB3047"/>
    <w:rsid w:val="00DB38C8"/>
    <w:rsid w:val="00DB4668"/>
    <w:rsid w:val="00DB471D"/>
    <w:rsid w:val="00DB564D"/>
    <w:rsid w:val="00DB5784"/>
    <w:rsid w:val="00DB5E2D"/>
    <w:rsid w:val="00DB635C"/>
    <w:rsid w:val="00DB73A2"/>
    <w:rsid w:val="00DB7520"/>
    <w:rsid w:val="00DB7BA6"/>
    <w:rsid w:val="00DC03B0"/>
    <w:rsid w:val="00DC065A"/>
    <w:rsid w:val="00DC1C19"/>
    <w:rsid w:val="00DC22ED"/>
    <w:rsid w:val="00DC2CE2"/>
    <w:rsid w:val="00DC31AF"/>
    <w:rsid w:val="00DC3990"/>
    <w:rsid w:val="00DC3CCF"/>
    <w:rsid w:val="00DC404D"/>
    <w:rsid w:val="00DC47F2"/>
    <w:rsid w:val="00DC5254"/>
    <w:rsid w:val="00DC5794"/>
    <w:rsid w:val="00DC6AA9"/>
    <w:rsid w:val="00DD018D"/>
    <w:rsid w:val="00DD0BA7"/>
    <w:rsid w:val="00DD2105"/>
    <w:rsid w:val="00DD25FC"/>
    <w:rsid w:val="00DD2DF1"/>
    <w:rsid w:val="00DD3641"/>
    <w:rsid w:val="00DD414F"/>
    <w:rsid w:val="00DD5A25"/>
    <w:rsid w:val="00DD5F14"/>
    <w:rsid w:val="00DD63EB"/>
    <w:rsid w:val="00DD784E"/>
    <w:rsid w:val="00DE005C"/>
    <w:rsid w:val="00DE0239"/>
    <w:rsid w:val="00DE046E"/>
    <w:rsid w:val="00DE0828"/>
    <w:rsid w:val="00DE0A8C"/>
    <w:rsid w:val="00DE0F4A"/>
    <w:rsid w:val="00DE1422"/>
    <w:rsid w:val="00DE160F"/>
    <w:rsid w:val="00DE1750"/>
    <w:rsid w:val="00DE1ABA"/>
    <w:rsid w:val="00DE2A2D"/>
    <w:rsid w:val="00DE2B86"/>
    <w:rsid w:val="00DE30F7"/>
    <w:rsid w:val="00DE3529"/>
    <w:rsid w:val="00DE365B"/>
    <w:rsid w:val="00DE3A5E"/>
    <w:rsid w:val="00DE3DA2"/>
    <w:rsid w:val="00DE446A"/>
    <w:rsid w:val="00DE4A17"/>
    <w:rsid w:val="00DE5007"/>
    <w:rsid w:val="00DE63C1"/>
    <w:rsid w:val="00DE65FB"/>
    <w:rsid w:val="00DE681A"/>
    <w:rsid w:val="00DE77DA"/>
    <w:rsid w:val="00DE7B11"/>
    <w:rsid w:val="00DF088A"/>
    <w:rsid w:val="00DF2746"/>
    <w:rsid w:val="00DF2EA1"/>
    <w:rsid w:val="00DF2F56"/>
    <w:rsid w:val="00DF324C"/>
    <w:rsid w:val="00DF35AC"/>
    <w:rsid w:val="00DF3CAB"/>
    <w:rsid w:val="00DF4B3A"/>
    <w:rsid w:val="00DF4EC2"/>
    <w:rsid w:val="00DF58E0"/>
    <w:rsid w:val="00DF5B07"/>
    <w:rsid w:val="00DF6038"/>
    <w:rsid w:val="00DF6584"/>
    <w:rsid w:val="00DF65B8"/>
    <w:rsid w:val="00DF6CB6"/>
    <w:rsid w:val="00DF6E8D"/>
    <w:rsid w:val="00DF775A"/>
    <w:rsid w:val="00DF7D68"/>
    <w:rsid w:val="00E005A0"/>
    <w:rsid w:val="00E010D3"/>
    <w:rsid w:val="00E010E7"/>
    <w:rsid w:val="00E014EE"/>
    <w:rsid w:val="00E01F74"/>
    <w:rsid w:val="00E02FA4"/>
    <w:rsid w:val="00E031A2"/>
    <w:rsid w:val="00E0396B"/>
    <w:rsid w:val="00E03CAA"/>
    <w:rsid w:val="00E04297"/>
    <w:rsid w:val="00E04B76"/>
    <w:rsid w:val="00E057A4"/>
    <w:rsid w:val="00E0589E"/>
    <w:rsid w:val="00E05927"/>
    <w:rsid w:val="00E059AA"/>
    <w:rsid w:val="00E05FB4"/>
    <w:rsid w:val="00E063A5"/>
    <w:rsid w:val="00E0656A"/>
    <w:rsid w:val="00E074EA"/>
    <w:rsid w:val="00E07BDA"/>
    <w:rsid w:val="00E07CE0"/>
    <w:rsid w:val="00E10481"/>
    <w:rsid w:val="00E10DFA"/>
    <w:rsid w:val="00E111C0"/>
    <w:rsid w:val="00E11532"/>
    <w:rsid w:val="00E11DE6"/>
    <w:rsid w:val="00E121DB"/>
    <w:rsid w:val="00E128B4"/>
    <w:rsid w:val="00E12B6D"/>
    <w:rsid w:val="00E13458"/>
    <w:rsid w:val="00E135D9"/>
    <w:rsid w:val="00E13DF0"/>
    <w:rsid w:val="00E143E0"/>
    <w:rsid w:val="00E14599"/>
    <w:rsid w:val="00E14814"/>
    <w:rsid w:val="00E149FA"/>
    <w:rsid w:val="00E14F94"/>
    <w:rsid w:val="00E15B47"/>
    <w:rsid w:val="00E15CA4"/>
    <w:rsid w:val="00E15EBD"/>
    <w:rsid w:val="00E1621C"/>
    <w:rsid w:val="00E16283"/>
    <w:rsid w:val="00E1696A"/>
    <w:rsid w:val="00E16F53"/>
    <w:rsid w:val="00E16FD7"/>
    <w:rsid w:val="00E174A0"/>
    <w:rsid w:val="00E1779C"/>
    <w:rsid w:val="00E20AD6"/>
    <w:rsid w:val="00E213C3"/>
    <w:rsid w:val="00E221CA"/>
    <w:rsid w:val="00E22787"/>
    <w:rsid w:val="00E22CD4"/>
    <w:rsid w:val="00E22E52"/>
    <w:rsid w:val="00E22E63"/>
    <w:rsid w:val="00E2384D"/>
    <w:rsid w:val="00E23BBF"/>
    <w:rsid w:val="00E2479B"/>
    <w:rsid w:val="00E249D9"/>
    <w:rsid w:val="00E24D15"/>
    <w:rsid w:val="00E256ED"/>
    <w:rsid w:val="00E25898"/>
    <w:rsid w:val="00E25908"/>
    <w:rsid w:val="00E25FA8"/>
    <w:rsid w:val="00E260F8"/>
    <w:rsid w:val="00E267F5"/>
    <w:rsid w:val="00E277B3"/>
    <w:rsid w:val="00E278B1"/>
    <w:rsid w:val="00E30137"/>
    <w:rsid w:val="00E30490"/>
    <w:rsid w:val="00E30F78"/>
    <w:rsid w:val="00E31739"/>
    <w:rsid w:val="00E31918"/>
    <w:rsid w:val="00E31E68"/>
    <w:rsid w:val="00E3259F"/>
    <w:rsid w:val="00E32AE3"/>
    <w:rsid w:val="00E32AF6"/>
    <w:rsid w:val="00E32D6C"/>
    <w:rsid w:val="00E3315A"/>
    <w:rsid w:val="00E336ED"/>
    <w:rsid w:val="00E340EF"/>
    <w:rsid w:val="00E34189"/>
    <w:rsid w:val="00E3477F"/>
    <w:rsid w:val="00E34C80"/>
    <w:rsid w:val="00E353DE"/>
    <w:rsid w:val="00E35F03"/>
    <w:rsid w:val="00E36100"/>
    <w:rsid w:val="00E36308"/>
    <w:rsid w:val="00E36327"/>
    <w:rsid w:val="00E37841"/>
    <w:rsid w:val="00E378CF"/>
    <w:rsid w:val="00E403C4"/>
    <w:rsid w:val="00E40C2F"/>
    <w:rsid w:val="00E40F9B"/>
    <w:rsid w:val="00E41D02"/>
    <w:rsid w:val="00E41FF0"/>
    <w:rsid w:val="00E42007"/>
    <w:rsid w:val="00E424F9"/>
    <w:rsid w:val="00E43A7D"/>
    <w:rsid w:val="00E43FE3"/>
    <w:rsid w:val="00E440B7"/>
    <w:rsid w:val="00E44109"/>
    <w:rsid w:val="00E4451D"/>
    <w:rsid w:val="00E449A4"/>
    <w:rsid w:val="00E44B8B"/>
    <w:rsid w:val="00E45158"/>
    <w:rsid w:val="00E451F0"/>
    <w:rsid w:val="00E45F45"/>
    <w:rsid w:val="00E46554"/>
    <w:rsid w:val="00E467BC"/>
    <w:rsid w:val="00E46A68"/>
    <w:rsid w:val="00E47022"/>
    <w:rsid w:val="00E47131"/>
    <w:rsid w:val="00E4731F"/>
    <w:rsid w:val="00E4771D"/>
    <w:rsid w:val="00E47921"/>
    <w:rsid w:val="00E479B6"/>
    <w:rsid w:val="00E47FF0"/>
    <w:rsid w:val="00E502BD"/>
    <w:rsid w:val="00E50807"/>
    <w:rsid w:val="00E50BCA"/>
    <w:rsid w:val="00E51412"/>
    <w:rsid w:val="00E52340"/>
    <w:rsid w:val="00E5296F"/>
    <w:rsid w:val="00E52EBD"/>
    <w:rsid w:val="00E52FFE"/>
    <w:rsid w:val="00E5384C"/>
    <w:rsid w:val="00E53C50"/>
    <w:rsid w:val="00E548A7"/>
    <w:rsid w:val="00E54AF0"/>
    <w:rsid w:val="00E56541"/>
    <w:rsid w:val="00E56FD0"/>
    <w:rsid w:val="00E57B9D"/>
    <w:rsid w:val="00E57C39"/>
    <w:rsid w:val="00E57D5E"/>
    <w:rsid w:val="00E60D8E"/>
    <w:rsid w:val="00E61061"/>
    <w:rsid w:val="00E61D1C"/>
    <w:rsid w:val="00E62084"/>
    <w:rsid w:val="00E626E6"/>
    <w:rsid w:val="00E631A4"/>
    <w:rsid w:val="00E63B63"/>
    <w:rsid w:val="00E63BB7"/>
    <w:rsid w:val="00E63CFE"/>
    <w:rsid w:val="00E64DA8"/>
    <w:rsid w:val="00E64ED5"/>
    <w:rsid w:val="00E64F18"/>
    <w:rsid w:val="00E650FE"/>
    <w:rsid w:val="00E65F16"/>
    <w:rsid w:val="00E6684F"/>
    <w:rsid w:val="00E669B0"/>
    <w:rsid w:val="00E6703E"/>
    <w:rsid w:val="00E67395"/>
    <w:rsid w:val="00E67B69"/>
    <w:rsid w:val="00E71DD6"/>
    <w:rsid w:val="00E71E9F"/>
    <w:rsid w:val="00E72676"/>
    <w:rsid w:val="00E728FD"/>
    <w:rsid w:val="00E73498"/>
    <w:rsid w:val="00E74B98"/>
    <w:rsid w:val="00E75C0D"/>
    <w:rsid w:val="00E75C81"/>
    <w:rsid w:val="00E76880"/>
    <w:rsid w:val="00E768D8"/>
    <w:rsid w:val="00E77639"/>
    <w:rsid w:val="00E778BD"/>
    <w:rsid w:val="00E778CC"/>
    <w:rsid w:val="00E77920"/>
    <w:rsid w:val="00E77E35"/>
    <w:rsid w:val="00E80687"/>
    <w:rsid w:val="00E80A00"/>
    <w:rsid w:val="00E80D8D"/>
    <w:rsid w:val="00E811D9"/>
    <w:rsid w:val="00E8170D"/>
    <w:rsid w:val="00E81C26"/>
    <w:rsid w:val="00E823B9"/>
    <w:rsid w:val="00E83034"/>
    <w:rsid w:val="00E834C2"/>
    <w:rsid w:val="00E8397D"/>
    <w:rsid w:val="00E84695"/>
    <w:rsid w:val="00E84A54"/>
    <w:rsid w:val="00E86B0B"/>
    <w:rsid w:val="00E87BF0"/>
    <w:rsid w:val="00E87D0D"/>
    <w:rsid w:val="00E87DFA"/>
    <w:rsid w:val="00E9062F"/>
    <w:rsid w:val="00E90B57"/>
    <w:rsid w:val="00E91E82"/>
    <w:rsid w:val="00E92392"/>
    <w:rsid w:val="00E923F6"/>
    <w:rsid w:val="00E92940"/>
    <w:rsid w:val="00E929E1"/>
    <w:rsid w:val="00E92A29"/>
    <w:rsid w:val="00E92BF2"/>
    <w:rsid w:val="00E92C0D"/>
    <w:rsid w:val="00E932C5"/>
    <w:rsid w:val="00E9348B"/>
    <w:rsid w:val="00E93513"/>
    <w:rsid w:val="00E93970"/>
    <w:rsid w:val="00E93A16"/>
    <w:rsid w:val="00E93E5A"/>
    <w:rsid w:val="00E9447E"/>
    <w:rsid w:val="00E94F0D"/>
    <w:rsid w:val="00E9582F"/>
    <w:rsid w:val="00E96321"/>
    <w:rsid w:val="00E963D8"/>
    <w:rsid w:val="00E97749"/>
    <w:rsid w:val="00E978EC"/>
    <w:rsid w:val="00E978F3"/>
    <w:rsid w:val="00E97D5C"/>
    <w:rsid w:val="00E97E14"/>
    <w:rsid w:val="00EA00D2"/>
    <w:rsid w:val="00EA0C48"/>
    <w:rsid w:val="00EA0E0A"/>
    <w:rsid w:val="00EA1674"/>
    <w:rsid w:val="00EA26ED"/>
    <w:rsid w:val="00EA3AF8"/>
    <w:rsid w:val="00EA3DEC"/>
    <w:rsid w:val="00EA4472"/>
    <w:rsid w:val="00EA62CE"/>
    <w:rsid w:val="00EA7718"/>
    <w:rsid w:val="00EB03D7"/>
    <w:rsid w:val="00EB089B"/>
    <w:rsid w:val="00EB1264"/>
    <w:rsid w:val="00EB1271"/>
    <w:rsid w:val="00EB362D"/>
    <w:rsid w:val="00EB4429"/>
    <w:rsid w:val="00EB4A44"/>
    <w:rsid w:val="00EB4B9D"/>
    <w:rsid w:val="00EB4E1D"/>
    <w:rsid w:val="00EB518F"/>
    <w:rsid w:val="00EB5373"/>
    <w:rsid w:val="00EB5D18"/>
    <w:rsid w:val="00EB6A9E"/>
    <w:rsid w:val="00EB714D"/>
    <w:rsid w:val="00EB7419"/>
    <w:rsid w:val="00EB7465"/>
    <w:rsid w:val="00EB7DEB"/>
    <w:rsid w:val="00EC0DDB"/>
    <w:rsid w:val="00EC1573"/>
    <w:rsid w:val="00EC212D"/>
    <w:rsid w:val="00EC21FA"/>
    <w:rsid w:val="00EC24B2"/>
    <w:rsid w:val="00EC2957"/>
    <w:rsid w:val="00EC295E"/>
    <w:rsid w:val="00EC45E9"/>
    <w:rsid w:val="00EC4E5C"/>
    <w:rsid w:val="00EC5C66"/>
    <w:rsid w:val="00EC6616"/>
    <w:rsid w:val="00EC678D"/>
    <w:rsid w:val="00EC6D7B"/>
    <w:rsid w:val="00EC6DAC"/>
    <w:rsid w:val="00EC6DB7"/>
    <w:rsid w:val="00EC6E54"/>
    <w:rsid w:val="00EC7124"/>
    <w:rsid w:val="00EC76A4"/>
    <w:rsid w:val="00EC7972"/>
    <w:rsid w:val="00ED03DA"/>
    <w:rsid w:val="00ED0A49"/>
    <w:rsid w:val="00ED152A"/>
    <w:rsid w:val="00ED16F7"/>
    <w:rsid w:val="00ED2BE9"/>
    <w:rsid w:val="00ED33C4"/>
    <w:rsid w:val="00ED3499"/>
    <w:rsid w:val="00ED3521"/>
    <w:rsid w:val="00ED4183"/>
    <w:rsid w:val="00ED4DCF"/>
    <w:rsid w:val="00ED5109"/>
    <w:rsid w:val="00ED5A80"/>
    <w:rsid w:val="00ED6137"/>
    <w:rsid w:val="00ED7381"/>
    <w:rsid w:val="00ED746F"/>
    <w:rsid w:val="00ED76A2"/>
    <w:rsid w:val="00ED7B28"/>
    <w:rsid w:val="00EE012B"/>
    <w:rsid w:val="00EE03CB"/>
    <w:rsid w:val="00EE0884"/>
    <w:rsid w:val="00EE0A33"/>
    <w:rsid w:val="00EE0B3C"/>
    <w:rsid w:val="00EE115B"/>
    <w:rsid w:val="00EE1202"/>
    <w:rsid w:val="00EE1AB4"/>
    <w:rsid w:val="00EE1CED"/>
    <w:rsid w:val="00EE3700"/>
    <w:rsid w:val="00EE3E03"/>
    <w:rsid w:val="00EE3E5B"/>
    <w:rsid w:val="00EE4773"/>
    <w:rsid w:val="00EE5847"/>
    <w:rsid w:val="00EE5E0E"/>
    <w:rsid w:val="00EE674A"/>
    <w:rsid w:val="00EE7876"/>
    <w:rsid w:val="00EF06CD"/>
    <w:rsid w:val="00EF0A57"/>
    <w:rsid w:val="00EF0DE4"/>
    <w:rsid w:val="00EF16EE"/>
    <w:rsid w:val="00EF1702"/>
    <w:rsid w:val="00EF1816"/>
    <w:rsid w:val="00EF25D3"/>
    <w:rsid w:val="00EF2642"/>
    <w:rsid w:val="00EF26A4"/>
    <w:rsid w:val="00EF37AA"/>
    <w:rsid w:val="00EF3D7C"/>
    <w:rsid w:val="00EF4B73"/>
    <w:rsid w:val="00EF54FD"/>
    <w:rsid w:val="00EF562D"/>
    <w:rsid w:val="00EF5CF8"/>
    <w:rsid w:val="00EF7273"/>
    <w:rsid w:val="00EF744E"/>
    <w:rsid w:val="00EF75EC"/>
    <w:rsid w:val="00EF768F"/>
    <w:rsid w:val="00EF7903"/>
    <w:rsid w:val="00F0009A"/>
    <w:rsid w:val="00F00357"/>
    <w:rsid w:val="00F00A60"/>
    <w:rsid w:val="00F01266"/>
    <w:rsid w:val="00F0156A"/>
    <w:rsid w:val="00F0198F"/>
    <w:rsid w:val="00F02F09"/>
    <w:rsid w:val="00F031CF"/>
    <w:rsid w:val="00F03736"/>
    <w:rsid w:val="00F04836"/>
    <w:rsid w:val="00F04BF8"/>
    <w:rsid w:val="00F058E8"/>
    <w:rsid w:val="00F05FE0"/>
    <w:rsid w:val="00F064EF"/>
    <w:rsid w:val="00F070C2"/>
    <w:rsid w:val="00F07EAC"/>
    <w:rsid w:val="00F07FE3"/>
    <w:rsid w:val="00F106A0"/>
    <w:rsid w:val="00F107B7"/>
    <w:rsid w:val="00F10D2E"/>
    <w:rsid w:val="00F10EBA"/>
    <w:rsid w:val="00F11292"/>
    <w:rsid w:val="00F115AB"/>
    <w:rsid w:val="00F11FC8"/>
    <w:rsid w:val="00F1264E"/>
    <w:rsid w:val="00F128E6"/>
    <w:rsid w:val="00F12FCE"/>
    <w:rsid w:val="00F12FE6"/>
    <w:rsid w:val="00F14A78"/>
    <w:rsid w:val="00F150F7"/>
    <w:rsid w:val="00F15B4B"/>
    <w:rsid w:val="00F1724C"/>
    <w:rsid w:val="00F17806"/>
    <w:rsid w:val="00F17A65"/>
    <w:rsid w:val="00F17CD7"/>
    <w:rsid w:val="00F17DF9"/>
    <w:rsid w:val="00F2016E"/>
    <w:rsid w:val="00F201F9"/>
    <w:rsid w:val="00F20265"/>
    <w:rsid w:val="00F20356"/>
    <w:rsid w:val="00F20563"/>
    <w:rsid w:val="00F20D66"/>
    <w:rsid w:val="00F20F89"/>
    <w:rsid w:val="00F211EF"/>
    <w:rsid w:val="00F2153F"/>
    <w:rsid w:val="00F21D45"/>
    <w:rsid w:val="00F21D77"/>
    <w:rsid w:val="00F22121"/>
    <w:rsid w:val="00F24A1D"/>
    <w:rsid w:val="00F257E0"/>
    <w:rsid w:val="00F25D51"/>
    <w:rsid w:val="00F25E59"/>
    <w:rsid w:val="00F25F5E"/>
    <w:rsid w:val="00F267E2"/>
    <w:rsid w:val="00F26BE9"/>
    <w:rsid w:val="00F27DDB"/>
    <w:rsid w:val="00F307D2"/>
    <w:rsid w:val="00F31E55"/>
    <w:rsid w:val="00F3237D"/>
    <w:rsid w:val="00F33174"/>
    <w:rsid w:val="00F33534"/>
    <w:rsid w:val="00F33DD9"/>
    <w:rsid w:val="00F33FFB"/>
    <w:rsid w:val="00F340B0"/>
    <w:rsid w:val="00F347CD"/>
    <w:rsid w:val="00F34E78"/>
    <w:rsid w:val="00F34EC2"/>
    <w:rsid w:val="00F34F51"/>
    <w:rsid w:val="00F368E3"/>
    <w:rsid w:val="00F374E7"/>
    <w:rsid w:val="00F37507"/>
    <w:rsid w:val="00F376A9"/>
    <w:rsid w:val="00F37A09"/>
    <w:rsid w:val="00F37F62"/>
    <w:rsid w:val="00F40018"/>
    <w:rsid w:val="00F4007A"/>
    <w:rsid w:val="00F405D8"/>
    <w:rsid w:val="00F419FC"/>
    <w:rsid w:val="00F41D07"/>
    <w:rsid w:val="00F41D47"/>
    <w:rsid w:val="00F433B7"/>
    <w:rsid w:val="00F44783"/>
    <w:rsid w:val="00F44864"/>
    <w:rsid w:val="00F448C9"/>
    <w:rsid w:val="00F452DA"/>
    <w:rsid w:val="00F456C5"/>
    <w:rsid w:val="00F45947"/>
    <w:rsid w:val="00F45A4E"/>
    <w:rsid w:val="00F46387"/>
    <w:rsid w:val="00F46826"/>
    <w:rsid w:val="00F46B05"/>
    <w:rsid w:val="00F470F7"/>
    <w:rsid w:val="00F47439"/>
    <w:rsid w:val="00F4743D"/>
    <w:rsid w:val="00F47497"/>
    <w:rsid w:val="00F47532"/>
    <w:rsid w:val="00F4754F"/>
    <w:rsid w:val="00F502B4"/>
    <w:rsid w:val="00F50A2F"/>
    <w:rsid w:val="00F50EAF"/>
    <w:rsid w:val="00F5173E"/>
    <w:rsid w:val="00F527DD"/>
    <w:rsid w:val="00F53078"/>
    <w:rsid w:val="00F53755"/>
    <w:rsid w:val="00F53CD4"/>
    <w:rsid w:val="00F54375"/>
    <w:rsid w:val="00F5451A"/>
    <w:rsid w:val="00F54A66"/>
    <w:rsid w:val="00F5503E"/>
    <w:rsid w:val="00F55A59"/>
    <w:rsid w:val="00F562B0"/>
    <w:rsid w:val="00F56C9F"/>
    <w:rsid w:val="00F6031B"/>
    <w:rsid w:val="00F60A54"/>
    <w:rsid w:val="00F611DA"/>
    <w:rsid w:val="00F6180B"/>
    <w:rsid w:val="00F61C6B"/>
    <w:rsid w:val="00F61D41"/>
    <w:rsid w:val="00F6212C"/>
    <w:rsid w:val="00F625D5"/>
    <w:rsid w:val="00F627F5"/>
    <w:rsid w:val="00F62D85"/>
    <w:rsid w:val="00F6358C"/>
    <w:rsid w:val="00F646DC"/>
    <w:rsid w:val="00F64953"/>
    <w:rsid w:val="00F64C34"/>
    <w:rsid w:val="00F65000"/>
    <w:rsid w:val="00F65030"/>
    <w:rsid w:val="00F6530F"/>
    <w:rsid w:val="00F6554D"/>
    <w:rsid w:val="00F6686D"/>
    <w:rsid w:val="00F669FC"/>
    <w:rsid w:val="00F66A74"/>
    <w:rsid w:val="00F677C2"/>
    <w:rsid w:val="00F701C6"/>
    <w:rsid w:val="00F704AA"/>
    <w:rsid w:val="00F706BC"/>
    <w:rsid w:val="00F714B3"/>
    <w:rsid w:val="00F716AC"/>
    <w:rsid w:val="00F717DA"/>
    <w:rsid w:val="00F71D50"/>
    <w:rsid w:val="00F722C8"/>
    <w:rsid w:val="00F72A62"/>
    <w:rsid w:val="00F72C53"/>
    <w:rsid w:val="00F73500"/>
    <w:rsid w:val="00F7369E"/>
    <w:rsid w:val="00F73818"/>
    <w:rsid w:val="00F73981"/>
    <w:rsid w:val="00F7398B"/>
    <w:rsid w:val="00F73C72"/>
    <w:rsid w:val="00F7426F"/>
    <w:rsid w:val="00F744D4"/>
    <w:rsid w:val="00F74B33"/>
    <w:rsid w:val="00F74C62"/>
    <w:rsid w:val="00F7612E"/>
    <w:rsid w:val="00F761D1"/>
    <w:rsid w:val="00F766AD"/>
    <w:rsid w:val="00F767E2"/>
    <w:rsid w:val="00F76A80"/>
    <w:rsid w:val="00F8015B"/>
    <w:rsid w:val="00F80CE3"/>
    <w:rsid w:val="00F80E36"/>
    <w:rsid w:val="00F81D75"/>
    <w:rsid w:val="00F81EB5"/>
    <w:rsid w:val="00F8208B"/>
    <w:rsid w:val="00F820CD"/>
    <w:rsid w:val="00F82918"/>
    <w:rsid w:val="00F82CA9"/>
    <w:rsid w:val="00F82F69"/>
    <w:rsid w:val="00F8373D"/>
    <w:rsid w:val="00F83B05"/>
    <w:rsid w:val="00F83BEB"/>
    <w:rsid w:val="00F83C05"/>
    <w:rsid w:val="00F83F3B"/>
    <w:rsid w:val="00F8582E"/>
    <w:rsid w:val="00F85B71"/>
    <w:rsid w:val="00F85E40"/>
    <w:rsid w:val="00F85EB9"/>
    <w:rsid w:val="00F86145"/>
    <w:rsid w:val="00F86B60"/>
    <w:rsid w:val="00F87342"/>
    <w:rsid w:val="00F8735D"/>
    <w:rsid w:val="00F87F9B"/>
    <w:rsid w:val="00F90511"/>
    <w:rsid w:val="00F9219D"/>
    <w:rsid w:val="00F93E58"/>
    <w:rsid w:val="00F941DC"/>
    <w:rsid w:val="00F9460D"/>
    <w:rsid w:val="00F948D1"/>
    <w:rsid w:val="00F94B4F"/>
    <w:rsid w:val="00F94BD9"/>
    <w:rsid w:val="00F96321"/>
    <w:rsid w:val="00F9649D"/>
    <w:rsid w:val="00F967B6"/>
    <w:rsid w:val="00F96A5D"/>
    <w:rsid w:val="00F973AB"/>
    <w:rsid w:val="00F976BC"/>
    <w:rsid w:val="00FA083E"/>
    <w:rsid w:val="00FA0E10"/>
    <w:rsid w:val="00FA1009"/>
    <w:rsid w:val="00FA1341"/>
    <w:rsid w:val="00FA21A7"/>
    <w:rsid w:val="00FA27C0"/>
    <w:rsid w:val="00FA30C2"/>
    <w:rsid w:val="00FA3143"/>
    <w:rsid w:val="00FA3DEA"/>
    <w:rsid w:val="00FA4637"/>
    <w:rsid w:val="00FA4E89"/>
    <w:rsid w:val="00FA5F45"/>
    <w:rsid w:val="00FA698D"/>
    <w:rsid w:val="00FA6A59"/>
    <w:rsid w:val="00FA6DAC"/>
    <w:rsid w:val="00FA6E0D"/>
    <w:rsid w:val="00FA75BA"/>
    <w:rsid w:val="00FA75FF"/>
    <w:rsid w:val="00FA7A73"/>
    <w:rsid w:val="00FA7B9C"/>
    <w:rsid w:val="00FB2564"/>
    <w:rsid w:val="00FB2715"/>
    <w:rsid w:val="00FB28CC"/>
    <w:rsid w:val="00FB2AF1"/>
    <w:rsid w:val="00FB2C74"/>
    <w:rsid w:val="00FB2D5B"/>
    <w:rsid w:val="00FB3363"/>
    <w:rsid w:val="00FB363B"/>
    <w:rsid w:val="00FB3CCD"/>
    <w:rsid w:val="00FB43C5"/>
    <w:rsid w:val="00FB466E"/>
    <w:rsid w:val="00FB46B7"/>
    <w:rsid w:val="00FB48D8"/>
    <w:rsid w:val="00FB4ACD"/>
    <w:rsid w:val="00FB4BC0"/>
    <w:rsid w:val="00FB4C14"/>
    <w:rsid w:val="00FB5940"/>
    <w:rsid w:val="00FB5C97"/>
    <w:rsid w:val="00FB5C99"/>
    <w:rsid w:val="00FB5DF1"/>
    <w:rsid w:val="00FB5E34"/>
    <w:rsid w:val="00FB6DC5"/>
    <w:rsid w:val="00FB6F18"/>
    <w:rsid w:val="00FB74BB"/>
    <w:rsid w:val="00FC0789"/>
    <w:rsid w:val="00FC1204"/>
    <w:rsid w:val="00FC13AF"/>
    <w:rsid w:val="00FC1652"/>
    <w:rsid w:val="00FC1791"/>
    <w:rsid w:val="00FC1817"/>
    <w:rsid w:val="00FC1E19"/>
    <w:rsid w:val="00FC230E"/>
    <w:rsid w:val="00FC2571"/>
    <w:rsid w:val="00FC2EA5"/>
    <w:rsid w:val="00FC3158"/>
    <w:rsid w:val="00FC32C6"/>
    <w:rsid w:val="00FC35B9"/>
    <w:rsid w:val="00FC3B97"/>
    <w:rsid w:val="00FC466C"/>
    <w:rsid w:val="00FC4D5D"/>
    <w:rsid w:val="00FC6B04"/>
    <w:rsid w:val="00FC6EE1"/>
    <w:rsid w:val="00FC7285"/>
    <w:rsid w:val="00FC7379"/>
    <w:rsid w:val="00FC7ED5"/>
    <w:rsid w:val="00FD23FD"/>
    <w:rsid w:val="00FD296D"/>
    <w:rsid w:val="00FD29B1"/>
    <w:rsid w:val="00FD2BCD"/>
    <w:rsid w:val="00FD3130"/>
    <w:rsid w:val="00FD3269"/>
    <w:rsid w:val="00FD39B8"/>
    <w:rsid w:val="00FD3A17"/>
    <w:rsid w:val="00FD4850"/>
    <w:rsid w:val="00FD4DE3"/>
    <w:rsid w:val="00FD54ED"/>
    <w:rsid w:val="00FD554D"/>
    <w:rsid w:val="00FD5EE7"/>
    <w:rsid w:val="00FD61C3"/>
    <w:rsid w:val="00FD68CF"/>
    <w:rsid w:val="00FD721F"/>
    <w:rsid w:val="00FD7A55"/>
    <w:rsid w:val="00FD7C64"/>
    <w:rsid w:val="00FE018D"/>
    <w:rsid w:val="00FE072F"/>
    <w:rsid w:val="00FE0D37"/>
    <w:rsid w:val="00FE0DFB"/>
    <w:rsid w:val="00FE10BB"/>
    <w:rsid w:val="00FE18F6"/>
    <w:rsid w:val="00FE1BDD"/>
    <w:rsid w:val="00FE1D76"/>
    <w:rsid w:val="00FE225B"/>
    <w:rsid w:val="00FE22FA"/>
    <w:rsid w:val="00FE2409"/>
    <w:rsid w:val="00FE25AF"/>
    <w:rsid w:val="00FE28B6"/>
    <w:rsid w:val="00FE3A60"/>
    <w:rsid w:val="00FE3D99"/>
    <w:rsid w:val="00FE573A"/>
    <w:rsid w:val="00FE5837"/>
    <w:rsid w:val="00FE5DA3"/>
    <w:rsid w:val="00FE6479"/>
    <w:rsid w:val="00FE6BED"/>
    <w:rsid w:val="00FE7717"/>
    <w:rsid w:val="00FE7B7B"/>
    <w:rsid w:val="00FF0A51"/>
    <w:rsid w:val="00FF0B11"/>
    <w:rsid w:val="00FF0B69"/>
    <w:rsid w:val="00FF11F3"/>
    <w:rsid w:val="00FF182D"/>
    <w:rsid w:val="00FF1A37"/>
    <w:rsid w:val="00FF211F"/>
    <w:rsid w:val="00FF2568"/>
    <w:rsid w:val="00FF2859"/>
    <w:rsid w:val="00FF2976"/>
    <w:rsid w:val="00FF2EBE"/>
    <w:rsid w:val="00FF34EE"/>
    <w:rsid w:val="00FF3769"/>
    <w:rsid w:val="00FF383D"/>
    <w:rsid w:val="00FF3F78"/>
    <w:rsid w:val="00FF4074"/>
    <w:rsid w:val="00FF4B7B"/>
    <w:rsid w:val="00FF4E41"/>
    <w:rsid w:val="00FF4F87"/>
    <w:rsid w:val="00FF52EB"/>
    <w:rsid w:val="00FF55A0"/>
    <w:rsid w:val="00FF62D2"/>
    <w:rsid w:val="00FF7682"/>
    <w:rsid w:val="00FF7AEB"/>
    <w:rsid w:val="030129D9"/>
    <w:rsid w:val="081C12B5"/>
    <w:rsid w:val="08D98485"/>
    <w:rsid w:val="155A1B12"/>
    <w:rsid w:val="15914F32"/>
    <w:rsid w:val="1B27BF7D"/>
    <w:rsid w:val="2144A951"/>
    <w:rsid w:val="24050365"/>
    <w:rsid w:val="267BE37B"/>
    <w:rsid w:val="2C209D39"/>
    <w:rsid w:val="3091AAC5"/>
    <w:rsid w:val="34C0677E"/>
    <w:rsid w:val="384D70B8"/>
    <w:rsid w:val="3ADE3D94"/>
    <w:rsid w:val="400AF69B"/>
    <w:rsid w:val="43242DD3"/>
    <w:rsid w:val="452F2586"/>
    <w:rsid w:val="47B176A6"/>
    <w:rsid w:val="4D7C39FD"/>
    <w:rsid w:val="58B96796"/>
    <w:rsid w:val="5BCF031F"/>
    <w:rsid w:val="5CE1020D"/>
    <w:rsid w:val="63852D9E"/>
    <w:rsid w:val="66461492"/>
    <w:rsid w:val="6A13D503"/>
    <w:rsid w:val="70039D97"/>
    <w:rsid w:val="733F2B55"/>
    <w:rsid w:val="78412D91"/>
    <w:rsid w:val="7C461F89"/>
    <w:rsid w:val="7F98540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22529"/>
    <o:shapelayout v:ext="edit">
      <o:idmap v:ext="edit" data="1"/>
    </o:shapelayout>
  </w:shapeDefaults>
  <w:decimalSymbol w:val="."/>
  <w:listSeparator w:val=","/>
  <w14:docId w14:val="493ACF98"/>
  <w15:docId w15:val="{FD5E9CCD-84D9-492C-9E2F-6B70C03D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83"/>
    <w:pPr>
      <w:jc w:val="both"/>
    </w:pPr>
    <w:rPr>
      <w:lang w:val="en-GB"/>
    </w:rPr>
  </w:style>
  <w:style w:type="paragraph" w:styleId="Heading1">
    <w:name w:val="heading 1"/>
    <w:basedOn w:val="Normal"/>
    <w:next w:val="Normal"/>
    <w:link w:val="Heading1Char"/>
    <w:uiPriority w:val="99"/>
    <w:qFormat/>
    <w:rsid w:val="00B220D2"/>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652187"/>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numPr>
        <w:ilvl w:val="2"/>
        <w:numId w:val="4"/>
      </w:numPr>
      <w:spacing w:before="120" w:after="1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652187"/>
    <w:pPr>
      <w:keepNext/>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6343B0"/>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bulletit taulukoissa,Lijstalinea,#Listenabsatz,Párrafo de lista1,Liststycke,List Paragraph1,List Paragraph11,Paragrafo elenco,P?rrafo de lista,P?rrafo de lista1,Aufzählung,Equipment,Figure_name,Numbered Indented Text,b1"/>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D81F16"/>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652187"/>
    <w:pPr>
      <w:tabs>
        <w:tab w:val="left" w:pos="880"/>
        <w:tab w:val="right" w:leader="dot" w:pos="9062"/>
      </w:tabs>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aliases w:val="ENTSO-E Table,Standrad Table - ENTSO-E"/>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basedOn w:val="DefaultParagraphFont"/>
    <w:link w:val="Listenabsatz1"/>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723C31"/>
    <w:pPr>
      <w:numPr>
        <w:numId w:val="2"/>
      </w:numPr>
      <w:spacing w:after="120" w:line="360" w:lineRule="auto"/>
    </w:pPr>
    <w:rPr>
      <w:rFonts w:eastAsia="Times New Roman" w:cs="Times New Roman"/>
      <w:szCs w:val="24"/>
      <w:lang w:eastAsia="de-DE"/>
    </w:rPr>
  </w:style>
  <w:style w:type="character" w:styleId="CommentReference">
    <w:name w:val="annotation reference"/>
    <w:aliases w:val="Stinking Styles6"/>
    <w:basedOn w:val="DefaultParagraphFont"/>
    <w:rsid w:val="00CA4078"/>
    <w:rPr>
      <w:rFonts w:cs="Times New Roman"/>
      <w:sz w:val="16"/>
    </w:rPr>
  </w:style>
  <w:style w:type="paragraph" w:styleId="CommentText">
    <w:name w:val="annotation text"/>
    <w:aliases w:val="Stinking Styles5"/>
    <w:basedOn w:val="Normal"/>
    <w:link w:val="CommentTextChar1"/>
    <w:qFormat/>
    <w:rsid w:val="00715EBE"/>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bulletit taulukoissa Char,Lijstalinea Char,#Listenabsatz Char,Párrafo de lista1 Char,Liststycke Char,List Paragraph1 Char,List Paragraph11 Char,Paragrafo elenco Char,P?rrafo de lista Char,P?rrafo de lista1 Char,Aufzählung Char"/>
    <w:basedOn w:val="DefaultParagraphFont"/>
    <w:link w:val="ListParagraph"/>
    <w:uiPriority w:val="34"/>
    <w:qFormat/>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semiHidden/>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377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120" w:line="360" w:lineRule="atLeast"/>
      <w:ind w:left="720" w:hanging="720"/>
      <w:textAlignment w:val="baseline"/>
    </w:pPr>
    <w:rPr>
      <w:rFonts w:ascii="Times New Roman" w:eastAsia="Times New Roman" w:hAnsi="Times New Roman" w:cs="Times New Roman"/>
      <w:color w:val="000000"/>
      <w:szCs w:val="20"/>
      <w:lang w:val="en-US" w:eastAsia="en-GB"/>
    </w:rPr>
  </w:style>
  <w:style w:type="paragraph" w:styleId="ListBullet4">
    <w:name w:val="List Bullet 4"/>
    <w:basedOn w:val="Normal"/>
    <w:autoRedefine/>
    <w:rsid w:val="00723C31"/>
    <w:pPr>
      <w:widowControl w:val="0"/>
      <w:numPr>
        <w:numId w:val="11"/>
      </w:numPr>
      <w:adjustRightInd w:val="0"/>
      <w:spacing w:after="60" w:line="360" w:lineRule="atLeast"/>
      <w:textAlignment w:val="baseline"/>
    </w:pPr>
    <w:rPr>
      <w:rFonts w:ascii="Times New Roman" w:eastAsia="Times New Roman" w:hAnsi="Times New Roman" w:cs="Times New Roman"/>
      <w:szCs w:val="20"/>
      <w:lang w:val="en-US" w:eastAsia="en-GB"/>
    </w:rPr>
  </w:style>
  <w:style w:type="paragraph" w:customStyle="1" w:styleId="normal2">
    <w:name w:val="normal2"/>
    <w:basedOn w:val="Normal"/>
    <w:rsid w:val="00852782"/>
    <w:pPr>
      <w:spacing w:before="120" w:after="0" w:line="312" w:lineRule="atLeast"/>
    </w:pPr>
    <w:rPr>
      <w:rFonts w:ascii="Times New Roman" w:eastAsia="Times New Roman" w:hAnsi="Times New Roman" w:cs="Times New Roman"/>
      <w:sz w:val="24"/>
      <w:szCs w:val="24"/>
      <w:lang w:val="sl-SI" w:eastAsia="sl-SI"/>
    </w:rPr>
  </w:style>
  <w:style w:type="paragraph" w:customStyle="1" w:styleId="textregular">
    <w:name w:val="text regular"/>
    <w:link w:val="textregularZchn"/>
    <w:qFormat/>
    <w:rsid w:val="00511227"/>
    <w:pPr>
      <w:spacing w:after="120" w:line="240" w:lineRule="auto"/>
      <w:jc w:val="both"/>
    </w:pPr>
    <w:rPr>
      <w:rFonts w:ascii="Times New Roman" w:eastAsia="Times New Roman" w:hAnsi="Times New Roman" w:cs="Times New Roman"/>
      <w:color w:val="000000" w:themeColor="text1"/>
      <w:szCs w:val="19"/>
      <w:lang w:val="en-GB" w:eastAsia="de-DE"/>
    </w:rPr>
  </w:style>
  <w:style w:type="character" w:customStyle="1" w:styleId="textregularZchn">
    <w:name w:val="text regular Zchn"/>
    <w:basedOn w:val="DefaultParagraphFont"/>
    <w:link w:val="textregular"/>
    <w:locked/>
    <w:rsid w:val="00511227"/>
    <w:rPr>
      <w:rFonts w:ascii="Times New Roman" w:eastAsia="Times New Roman" w:hAnsi="Times New Roman" w:cs="Times New Roman"/>
      <w:color w:val="000000" w:themeColor="text1"/>
      <w:szCs w:val="19"/>
      <w:lang w:val="en-GB" w:eastAsia="de-DE"/>
    </w:rPr>
  </w:style>
  <w:style w:type="table" w:styleId="PlainTable3">
    <w:name w:val="Plain Table 3"/>
    <w:basedOn w:val="TableNormal"/>
    <w:uiPriority w:val="43"/>
    <w:rsid w:val="00E005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FC2571"/>
    <w:rPr>
      <w:color w:val="800080" w:themeColor="followedHyperlink"/>
      <w:u w:val="single"/>
    </w:rPr>
  </w:style>
  <w:style w:type="paragraph" w:styleId="ListNumber2">
    <w:name w:val="List Number 2"/>
    <w:basedOn w:val="Normal"/>
    <w:uiPriority w:val="99"/>
    <w:rsid w:val="001D6C78"/>
    <w:pPr>
      <w:overflowPunct w:val="0"/>
      <w:autoSpaceDE w:val="0"/>
      <w:autoSpaceDN w:val="0"/>
      <w:adjustRightInd w:val="0"/>
      <w:spacing w:after="180" w:line="240" w:lineRule="auto"/>
      <w:ind w:left="566" w:hanging="283"/>
    </w:pPr>
    <w:rPr>
      <w:rFonts w:ascii="Verdana" w:eastAsia="Times New Roman" w:hAnsi="Verdana" w:cs="Times New Roman"/>
      <w:sz w:val="18"/>
      <w:szCs w:val="18"/>
      <w:lang w:eastAsia="nb-NO"/>
    </w:rPr>
  </w:style>
  <w:style w:type="table" w:customStyle="1" w:styleId="EinfacheTabelle31">
    <w:name w:val="Einfache Tabelle 31"/>
    <w:basedOn w:val="TableNormal"/>
    <w:uiPriority w:val="43"/>
    <w:rsid w:val="00AD04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ties">
    <w:name w:val="Parties"/>
    <w:basedOn w:val="Normal"/>
    <w:uiPriority w:val="99"/>
    <w:rsid w:val="00764C08"/>
    <w:pPr>
      <w:numPr>
        <w:numId w:val="90"/>
      </w:numPr>
      <w:spacing w:after="140" w:line="290" w:lineRule="auto"/>
    </w:pPr>
    <w:rPr>
      <w:rFonts w:ascii="Arial" w:eastAsia="Times New Roman" w:hAnsi="Arial" w:cs="Times New Roman"/>
      <w:kern w:val="20"/>
      <w:sz w:val="20"/>
      <w:szCs w:val="24"/>
    </w:rPr>
  </w:style>
  <w:style w:type="table" w:customStyle="1" w:styleId="StandradTable-ENTSO-E1">
    <w:name w:val="Standrad Table - ENTSO-E1"/>
    <w:basedOn w:val="TableNormal"/>
    <w:next w:val="TableGrid"/>
    <w:uiPriority w:val="59"/>
    <w:rsid w:val="00F107B7"/>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050">
      <w:bodyDiv w:val="1"/>
      <w:marLeft w:val="0"/>
      <w:marRight w:val="0"/>
      <w:marTop w:val="0"/>
      <w:marBottom w:val="0"/>
      <w:divBdr>
        <w:top w:val="none" w:sz="0" w:space="0" w:color="auto"/>
        <w:left w:val="none" w:sz="0" w:space="0" w:color="auto"/>
        <w:bottom w:val="none" w:sz="0" w:space="0" w:color="auto"/>
        <w:right w:val="none" w:sz="0" w:space="0" w:color="auto"/>
      </w:divBdr>
    </w:div>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60101871">
      <w:bodyDiv w:val="1"/>
      <w:marLeft w:val="0"/>
      <w:marRight w:val="0"/>
      <w:marTop w:val="0"/>
      <w:marBottom w:val="0"/>
      <w:divBdr>
        <w:top w:val="none" w:sz="0" w:space="0" w:color="auto"/>
        <w:left w:val="none" w:sz="0" w:space="0" w:color="auto"/>
        <w:bottom w:val="none" w:sz="0" w:space="0" w:color="auto"/>
        <w:right w:val="none" w:sz="0" w:space="0" w:color="auto"/>
      </w:divBdr>
    </w:div>
    <w:div w:id="62456514">
      <w:bodyDiv w:val="1"/>
      <w:marLeft w:val="0"/>
      <w:marRight w:val="0"/>
      <w:marTop w:val="0"/>
      <w:marBottom w:val="0"/>
      <w:divBdr>
        <w:top w:val="none" w:sz="0" w:space="0" w:color="auto"/>
        <w:left w:val="none" w:sz="0" w:space="0" w:color="auto"/>
        <w:bottom w:val="none" w:sz="0" w:space="0" w:color="auto"/>
        <w:right w:val="none" w:sz="0" w:space="0" w:color="auto"/>
      </w:divBdr>
      <w:divsChild>
        <w:div w:id="1017924757">
          <w:marLeft w:val="0"/>
          <w:marRight w:val="0"/>
          <w:marTop w:val="0"/>
          <w:marBottom w:val="0"/>
          <w:divBdr>
            <w:top w:val="none" w:sz="0" w:space="0" w:color="auto"/>
            <w:left w:val="none" w:sz="0" w:space="0" w:color="auto"/>
            <w:bottom w:val="none" w:sz="0" w:space="0" w:color="auto"/>
            <w:right w:val="none" w:sz="0" w:space="0" w:color="auto"/>
          </w:divBdr>
          <w:divsChild>
            <w:div w:id="1012949514">
              <w:marLeft w:val="0"/>
              <w:marRight w:val="0"/>
              <w:marTop w:val="0"/>
              <w:marBottom w:val="0"/>
              <w:divBdr>
                <w:top w:val="none" w:sz="0" w:space="0" w:color="auto"/>
                <w:left w:val="none" w:sz="0" w:space="0" w:color="auto"/>
                <w:bottom w:val="none" w:sz="0" w:space="0" w:color="auto"/>
                <w:right w:val="none" w:sz="0" w:space="0" w:color="auto"/>
              </w:divBdr>
              <w:divsChild>
                <w:div w:id="1814180732">
                  <w:marLeft w:val="0"/>
                  <w:marRight w:val="0"/>
                  <w:marTop w:val="0"/>
                  <w:marBottom w:val="0"/>
                  <w:divBdr>
                    <w:top w:val="none" w:sz="0" w:space="0" w:color="auto"/>
                    <w:left w:val="none" w:sz="0" w:space="0" w:color="auto"/>
                    <w:bottom w:val="none" w:sz="0" w:space="0" w:color="auto"/>
                    <w:right w:val="none" w:sz="0" w:space="0" w:color="auto"/>
                  </w:divBdr>
                  <w:divsChild>
                    <w:div w:id="799301261">
                      <w:marLeft w:val="1"/>
                      <w:marRight w:val="1"/>
                      <w:marTop w:val="0"/>
                      <w:marBottom w:val="0"/>
                      <w:divBdr>
                        <w:top w:val="none" w:sz="0" w:space="0" w:color="auto"/>
                        <w:left w:val="none" w:sz="0" w:space="0" w:color="auto"/>
                        <w:bottom w:val="none" w:sz="0" w:space="0" w:color="auto"/>
                        <w:right w:val="none" w:sz="0" w:space="0" w:color="auto"/>
                      </w:divBdr>
                      <w:divsChild>
                        <w:div w:id="809518546">
                          <w:marLeft w:val="0"/>
                          <w:marRight w:val="0"/>
                          <w:marTop w:val="0"/>
                          <w:marBottom w:val="0"/>
                          <w:divBdr>
                            <w:top w:val="none" w:sz="0" w:space="0" w:color="auto"/>
                            <w:left w:val="none" w:sz="0" w:space="0" w:color="auto"/>
                            <w:bottom w:val="none" w:sz="0" w:space="0" w:color="auto"/>
                            <w:right w:val="none" w:sz="0" w:space="0" w:color="auto"/>
                          </w:divBdr>
                          <w:divsChild>
                            <w:div w:id="835653821">
                              <w:marLeft w:val="0"/>
                              <w:marRight w:val="0"/>
                              <w:marTop w:val="0"/>
                              <w:marBottom w:val="360"/>
                              <w:divBdr>
                                <w:top w:val="none" w:sz="0" w:space="0" w:color="auto"/>
                                <w:left w:val="none" w:sz="0" w:space="0" w:color="auto"/>
                                <w:bottom w:val="none" w:sz="0" w:space="0" w:color="auto"/>
                                <w:right w:val="none" w:sz="0" w:space="0" w:color="auto"/>
                              </w:divBdr>
                              <w:divsChild>
                                <w:div w:id="868103246">
                                  <w:marLeft w:val="0"/>
                                  <w:marRight w:val="0"/>
                                  <w:marTop w:val="0"/>
                                  <w:marBottom w:val="0"/>
                                  <w:divBdr>
                                    <w:top w:val="none" w:sz="0" w:space="0" w:color="auto"/>
                                    <w:left w:val="none" w:sz="0" w:space="0" w:color="auto"/>
                                    <w:bottom w:val="none" w:sz="0" w:space="0" w:color="auto"/>
                                    <w:right w:val="none" w:sz="0" w:space="0" w:color="auto"/>
                                  </w:divBdr>
                                  <w:divsChild>
                                    <w:div w:id="2074886627">
                                      <w:marLeft w:val="0"/>
                                      <w:marRight w:val="0"/>
                                      <w:marTop w:val="0"/>
                                      <w:marBottom w:val="0"/>
                                      <w:divBdr>
                                        <w:top w:val="none" w:sz="0" w:space="0" w:color="auto"/>
                                        <w:left w:val="none" w:sz="0" w:space="0" w:color="auto"/>
                                        <w:bottom w:val="none" w:sz="0" w:space="0" w:color="auto"/>
                                        <w:right w:val="none" w:sz="0" w:space="0" w:color="auto"/>
                                      </w:divBdr>
                                      <w:divsChild>
                                        <w:div w:id="1689989330">
                                          <w:marLeft w:val="0"/>
                                          <w:marRight w:val="0"/>
                                          <w:marTop w:val="0"/>
                                          <w:marBottom w:val="0"/>
                                          <w:divBdr>
                                            <w:top w:val="none" w:sz="0" w:space="0" w:color="auto"/>
                                            <w:left w:val="none" w:sz="0" w:space="0" w:color="auto"/>
                                            <w:bottom w:val="none" w:sz="0" w:space="0" w:color="auto"/>
                                            <w:right w:val="none" w:sz="0" w:space="0" w:color="auto"/>
                                          </w:divBdr>
                                          <w:divsChild>
                                            <w:div w:id="1213270980">
                                              <w:marLeft w:val="0"/>
                                              <w:marRight w:val="0"/>
                                              <w:marTop w:val="0"/>
                                              <w:marBottom w:val="0"/>
                                              <w:divBdr>
                                                <w:top w:val="none" w:sz="0" w:space="0" w:color="auto"/>
                                                <w:left w:val="none" w:sz="0" w:space="0" w:color="auto"/>
                                                <w:bottom w:val="none" w:sz="0" w:space="0" w:color="auto"/>
                                                <w:right w:val="none" w:sz="0" w:space="0" w:color="auto"/>
                                              </w:divBdr>
                                              <w:divsChild>
                                                <w:div w:id="2839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3750">
      <w:bodyDiv w:val="1"/>
      <w:marLeft w:val="0"/>
      <w:marRight w:val="0"/>
      <w:marTop w:val="0"/>
      <w:marBottom w:val="0"/>
      <w:divBdr>
        <w:top w:val="none" w:sz="0" w:space="0" w:color="auto"/>
        <w:left w:val="none" w:sz="0" w:space="0" w:color="auto"/>
        <w:bottom w:val="none" w:sz="0" w:space="0" w:color="auto"/>
        <w:right w:val="none" w:sz="0" w:space="0" w:color="auto"/>
      </w:divBdr>
      <w:divsChild>
        <w:div w:id="1010450043">
          <w:marLeft w:val="0"/>
          <w:marRight w:val="0"/>
          <w:marTop w:val="0"/>
          <w:marBottom w:val="0"/>
          <w:divBdr>
            <w:top w:val="none" w:sz="0" w:space="0" w:color="auto"/>
            <w:left w:val="none" w:sz="0" w:space="0" w:color="auto"/>
            <w:bottom w:val="none" w:sz="0" w:space="0" w:color="auto"/>
            <w:right w:val="none" w:sz="0" w:space="0" w:color="auto"/>
          </w:divBdr>
          <w:divsChild>
            <w:div w:id="281688186">
              <w:marLeft w:val="0"/>
              <w:marRight w:val="0"/>
              <w:marTop w:val="0"/>
              <w:marBottom w:val="0"/>
              <w:divBdr>
                <w:top w:val="none" w:sz="0" w:space="0" w:color="auto"/>
                <w:left w:val="none" w:sz="0" w:space="0" w:color="auto"/>
                <w:bottom w:val="none" w:sz="0" w:space="0" w:color="auto"/>
                <w:right w:val="none" w:sz="0" w:space="0" w:color="auto"/>
              </w:divBdr>
              <w:divsChild>
                <w:div w:id="531965488">
                  <w:marLeft w:val="0"/>
                  <w:marRight w:val="0"/>
                  <w:marTop w:val="0"/>
                  <w:marBottom w:val="0"/>
                  <w:divBdr>
                    <w:top w:val="none" w:sz="0" w:space="0" w:color="auto"/>
                    <w:left w:val="none" w:sz="0" w:space="0" w:color="auto"/>
                    <w:bottom w:val="none" w:sz="0" w:space="0" w:color="auto"/>
                    <w:right w:val="none" w:sz="0" w:space="0" w:color="auto"/>
                  </w:divBdr>
                  <w:divsChild>
                    <w:div w:id="1734615727">
                      <w:marLeft w:val="1"/>
                      <w:marRight w:val="1"/>
                      <w:marTop w:val="0"/>
                      <w:marBottom w:val="0"/>
                      <w:divBdr>
                        <w:top w:val="none" w:sz="0" w:space="0" w:color="auto"/>
                        <w:left w:val="none" w:sz="0" w:space="0" w:color="auto"/>
                        <w:bottom w:val="none" w:sz="0" w:space="0" w:color="auto"/>
                        <w:right w:val="none" w:sz="0" w:space="0" w:color="auto"/>
                      </w:divBdr>
                      <w:divsChild>
                        <w:div w:id="277375480">
                          <w:marLeft w:val="0"/>
                          <w:marRight w:val="0"/>
                          <w:marTop w:val="0"/>
                          <w:marBottom w:val="0"/>
                          <w:divBdr>
                            <w:top w:val="none" w:sz="0" w:space="0" w:color="auto"/>
                            <w:left w:val="none" w:sz="0" w:space="0" w:color="auto"/>
                            <w:bottom w:val="none" w:sz="0" w:space="0" w:color="auto"/>
                            <w:right w:val="none" w:sz="0" w:space="0" w:color="auto"/>
                          </w:divBdr>
                          <w:divsChild>
                            <w:div w:id="258949955">
                              <w:marLeft w:val="0"/>
                              <w:marRight w:val="0"/>
                              <w:marTop w:val="0"/>
                              <w:marBottom w:val="360"/>
                              <w:divBdr>
                                <w:top w:val="none" w:sz="0" w:space="0" w:color="auto"/>
                                <w:left w:val="none" w:sz="0" w:space="0" w:color="auto"/>
                                <w:bottom w:val="none" w:sz="0" w:space="0" w:color="auto"/>
                                <w:right w:val="none" w:sz="0" w:space="0" w:color="auto"/>
                              </w:divBdr>
                              <w:divsChild>
                                <w:div w:id="1123382471">
                                  <w:marLeft w:val="0"/>
                                  <w:marRight w:val="0"/>
                                  <w:marTop w:val="0"/>
                                  <w:marBottom w:val="0"/>
                                  <w:divBdr>
                                    <w:top w:val="none" w:sz="0" w:space="0" w:color="auto"/>
                                    <w:left w:val="none" w:sz="0" w:space="0" w:color="auto"/>
                                    <w:bottom w:val="none" w:sz="0" w:space="0" w:color="auto"/>
                                    <w:right w:val="none" w:sz="0" w:space="0" w:color="auto"/>
                                  </w:divBdr>
                                  <w:divsChild>
                                    <w:div w:id="1442185444">
                                      <w:marLeft w:val="0"/>
                                      <w:marRight w:val="0"/>
                                      <w:marTop w:val="0"/>
                                      <w:marBottom w:val="0"/>
                                      <w:divBdr>
                                        <w:top w:val="none" w:sz="0" w:space="0" w:color="auto"/>
                                        <w:left w:val="none" w:sz="0" w:space="0" w:color="auto"/>
                                        <w:bottom w:val="none" w:sz="0" w:space="0" w:color="auto"/>
                                        <w:right w:val="none" w:sz="0" w:space="0" w:color="auto"/>
                                      </w:divBdr>
                                      <w:divsChild>
                                        <w:div w:id="1580941555">
                                          <w:marLeft w:val="0"/>
                                          <w:marRight w:val="0"/>
                                          <w:marTop w:val="0"/>
                                          <w:marBottom w:val="0"/>
                                          <w:divBdr>
                                            <w:top w:val="none" w:sz="0" w:space="0" w:color="auto"/>
                                            <w:left w:val="none" w:sz="0" w:space="0" w:color="auto"/>
                                            <w:bottom w:val="none" w:sz="0" w:space="0" w:color="auto"/>
                                            <w:right w:val="none" w:sz="0" w:space="0" w:color="auto"/>
                                          </w:divBdr>
                                          <w:divsChild>
                                            <w:div w:id="1104181446">
                                              <w:marLeft w:val="0"/>
                                              <w:marRight w:val="0"/>
                                              <w:marTop w:val="0"/>
                                              <w:marBottom w:val="0"/>
                                              <w:divBdr>
                                                <w:top w:val="none" w:sz="0" w:space="0" w:color="auto"/>
                                                <w:left w:val="none" w:sz="0" w:space="0" w:color="auto"/>
                                                <w:bottom w:val="none" w:sz="0" w:space="0" w:color="auto"/>
                                                <w:right w:val="none" w:sz="0" w:space="0" w:color="auto"/>
                                              </w:divBdr>
                                              <w:divsChild>
                                                <w:div w:id="860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78928891">
      <w:bodyDiv w:val="1"/>
      <w:marLeft w:val="0"/>
      <w:marRight w:val="0"/>
      <w:marTop w:val="0"/>
      <w:marBottom w:val="0"/>
      <w:divBdr>
        <w:top w:val="none" w:sz="0" w:space="0" w:color="auto"/>
        <w:left w:val="none" w:sz="0" w:space="0" w:color="auto"/>
        <w:bottom w:val="none" w:sz="0" w:space="0" w:color="auto"/>
        <w:right w:val="none" w:sz="0" w:space="0" w:color="auto"/>
      </w:divBdr>
    </w:div>
    <w:div w:id="182598376">
      <w:bodyDiv w:val="1"/>
      <w:marLeft w:val="0"/>
      <w:marRight w:val="0"/>
      <w:marTop w:val="0"/>
      <w:marBottom w:val="0"/>
      <w:divBdr>
        <w:top w:val="none" w:sz="0" w:space="0" w:color="auto"/>
        <w:left w:val="none" w:sz="0" w:space="0" w:color="auto"/>
        <w:bottom w:val="none" w:sz="0" w:space="0" w:color="auto"/>
        <w:right w:val="none" w:sz="0" w:space="0" w:color="auto"/>
      </w:divBdr>
      <w:divsChild>
        <w:div w:id="1087725788">
          <w:marLeft w:val="0"/>
          <w:marRight w:val="0"/>
          <w:marTop w:val="0"/>
          <w:marBottom w:val="0"/>
          <w:divBdr>
            <w:top w:val="none" w:sz="0" w:space="0" w:color="auto"/>
            <w:left w:val="none" w:sz="0" w:space="0" w:color="auto"/>
            <w:bottom w:val="none" w:sz="0" w:space="0" w:color="auto"/>
            <w:right w:val="none" w:sz="0" w:space="0" w:color="auto"/>
          </w:divBdr>
          <w:divsChild>
            <w:div w:id="196087510">
              <w:marLeft w:val="0"/>
              <w:marRight w:val="0"/>
              <w:marTop w:val="0"/>
              <w:marBottom w:val="0"/>
              <w:divBdr>
                <w:top w:val="none" w:sz="0" w:space="0" w:color="auto"/>
                <w:left w:val="none" w:sz="0" w:space="0" w:color="auto"/>
                <w:bottom w:val="none" w:sz="0" w:space="0" w:color="auto"/>
                <w:right w:val="none" w:sz="0" w:space="0" w:color="auto"/>
              </w:divBdr>
              <w:divsChild>
                <w:div w:id="555239022">
                  <w:marLeft w:val="0"/>
                  <w:marRight w:val="0"/>
                  <w:marTop w:val="0"/>
                  <w:marBottom w:val="0"/>
                  <w:divBdr>
                    <w:top w:val="none" w:sz="0" w:space="0" w:color="auto"/>
                    <w:left w:val="none" w:sz="0" w:space="0" w:color="auto"/>
                    <w:bottom w:val="none" w:sz="0" w:space="0" w:color="auto"/>
                    <w:right w:val="none" w:sz="0" w:space="0" w:color="auto"/>
                  </w:divBdr>
                  <w:divsChild>
                    <w:div w:id="2079395605">
                      <w:marLeft w:val="1"/>
                      <w:marRight w:val="1"/>
                      <w:marTop w:val="0"/>
                      <w:marBottom w:val="0"/>
                      <w:divBdr>
                        <w:top w:val="none" w:sz="0" w:space="0" w:color="auto"/>
                        <w:left w:val="none" w:sz="0" w:space="0" w:color="auto"/>
                        <w:bottom w:val="none" w:sz="0" w:space="0" w:color="auto"/>
                        <w:right w:val="none" w:sz="0" w:space="0" w:color="auto"/>
                      </w:divBdr>
                      <w:divsChild>
                        <w:div w:id="1217740310">
                          <w:marLeft w:val="0"/>
                          <w:marRight w:val="0"/>
                          <w:marTop w:val="0"/>
                          <w:marBottom w:val="0"/>
                          <w:divBdr>
                            <w:top w:val="none" w:sz="0" w:space="0" w:color="auto"/>
                            <w:left w:val="none" w:sz="0" w:space="0" w:color="auto"/>
                            <w:bottom w:val="none" w:sz="0" w:space="0" w:color="auto"/>
                            <w:right w:val="none" w:sz="0" w:space="0" w:color="auto"/>
                          </w:divBdr>
                          <w:divsChild>
                            <w:div w:id="725185529">
                              <w:marLeft w:val="0"/>
                              <w:marRight w:val="0"/>
                              <w:marTop w:val="0"/>
                              <w:marBottom w:val="360"/>
                              <w:divBdr>
                                <w:top w:val="none" w:sz="0" w:space="0" w:color="auto"/>
                                <w:left w:val="none" w:sz="0" w:space="0" w:color="auto"/>
                                <w:bottom w:val="none" w:sz="0" w:space="0" w:color="auto"/>
                                <w:right w:val="none" w:sz="0" w:space="0" w:color="auto"/>
                              </w:divBdr>
                              <w:divsChild>
                                <w:div w:id="564414293">
                                  <w:marLeft w:val="0"/>
                                  <w:marRight w:val="0"/>
                                  <w:marTop w:val="0"/>
                                  <w:marBottom w:val="0"/>
                                  <w:divBdr>
                                    <w:top w:val="none" w:sz="0" w:space="0" w:color="auto"/>
                                    <w:left w:val="none" w:sz="0" w:space="0" w:color="auto"/>
                                    <w:bottom w:val="none" w:sz="0" w:space="0" w:color="auto"/>
                                    <w:right w:val="none" w:sz="0" w:space="0" w:color="auto"/>
                                  </w:divBdr>
                                  <w:divsChild>
                                    <w:div w:id="1415937691">
                                      <w:marLeft w:val="0"/>
                                      <w:marRight w:val="0"/>
                                      <w:marTop w:val="0"/>
                                      <w:marBottom w:val="0"/>
                                      <w:divBdr>
                                        <w:top w:val="none" w:sz="0" w:space="0" w:color="auto"/>
                                        <w:left w:val="none" w:sz="0" w:space="0" w:color="auto"/>
                                        <w:bottom w:val="none" w:sz="0" w:space="0" w:color="auto"/>
                                        <w:right w:val="none" w:sz="0" w:space="0" w:color="auto"/>
                                      </w:divBdr>
                                      <w:divsChild>
                                        <w:div w:id="579872089">
                                          <w:marLeft w:val="0"/>
                                          <w:marRight w:val="0"/>
                                          <w:marTop w:val="0"/>
                                          <w:marBottom w:val="0"/>
                                          <w:divBdr>
                                            <w:top w:val="none" w:sz="0" w:space="0" w:color="auto"/>
                                            <w:left w:val="none" w:sz="0" w:space="0" w:color="auto"/>
                                            <w:bottom w:val="none" w:sz="0" w:space="0" w:color="auto"/>
                                            <w:right w:val="none" w:sz="0" w:space="0" w:color="auto"/>
                                          </w:divBdr>
                                          <w:divsChild>
                                            <w:div w:id="514541974">
                                              <w:marLeft w:val="0"/>
                                              <w:marRight w:val="0"/>
                                              <w:marTop w:val="0"/>
                                              <w:marBottom w:val="0"/>
                                              <w:divBdr>
                                                <w:top w:val="none" w:sz="0" w:space="0" w:color="auto"/>
                                                <w:left w:val="none" w:sz="0" w:space="0" w:color="auto"/>
                                                <w:bottom w:val="none" w:sz="0" w:space="0" w:color="auto"/>
                                                <w:right w:val="none" w:sz="0" w:space="0" w:color="auto"/>
                                              </w:divBdr>
                                              <w:divsChild>
                                                <w:div w:id="754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28620">
      <w:bodyDiv w:val="1"/>
      <w:marLeft w:val="0"/>
      <w:marRight w:val="0"/>
      <w:marTop w:val="0"/>
      <w:marBottom w:val="0"/>
      <w:divBdr>
        <w:top w:val="none" w:sz="0" w:space="0" w:color="auto"/>
        <w:left w:val="none" w:sz="0" w:space="0" w:color="auto"/>
        <w:bottom w:val="none" w:sz="0" w:space="0" w:color="auto"/>
        <w:right w:val="none" w:sz="0" w:space="0" w:color="auto"/>
      </w:divBdr>
      <w:divsChild>
        <w:div w:id="1385374873">
          <w:marLeft w:val="0"/>
          <w:marRight w:val="0"/>
          <w:marTop w:val="0"/>
          <w:marBottom w:val="0"/>
          <w:divBdr>
            <w:top w:val="none" w:sz="0" w:space="0" w:color="auto"/>
            <w:left w:val="none" w:sz="0" w:space="0" w:color="auto"/>
            <w:bottom w:val="none" w:sz="0" w:space="0" w:color="auto"/>
            <w:right w:val="none" w:sz="0" w:space="0" w:color="auto"/>
          </w:divBdr>
          <w:divsChild>
            <w:div w:id="1011108855">
              <w:marLeft w:val="0"/>
              <w:marRight w:val="0"/>
              <w:marTop w:val="0"/>
              <w:marBottom w:val="0"/>
              <w:divBdr>
                <w:top w:val="none" w:sz="0" w:space="0" w:color="auto"/>
                <w:left w:val="none" w:sz="0" w:space="0" w:color="auto"/>
                <w:bottom w:val="none" w:sz="0" w:space="0" w:color="auto"/>
                <w:right w:val="none" w:sz="0" w:space="0" w:color="auto"/>
              </w:divBdr>
              <w:divsChild>
                <w:div w:id="866024758">
                  <w:marLeft w:val="0"/>
                  <w:marRight w:val="0"/>
                  <w:marTop w:val="0"/>
                  <w:marBottom w:val="0"/>
                  <w:divBdr>
                    <w:top w:val="none" w:sz="0" w:space="0" w:color="auto"/>
                    <w:left w:val="none" w:sz="0" w:space="0" w:color="auto"/>
                    <w:bottom w:val="none" w:sz="0" w:space="0" w:color="auto"/>
                    <w:right w:val="none" w:sz="0" w:space="0" w:color="auto"/>
                  </w:divBdr>
                  <w:divsChild>
                    <w:div w:id="1685206364">
                      <w:marLeft w:val="1"/>
                      <w:marRight w:val="1"/>
                      <w:marTop w:val="0"/>
                      <w:marBottom w:val="0"/>
                      <w:divBdr>
                        <w:top w:val="none" w:sz="0" w:space="0" w:color="auto"/>
                        <w:left w:val="none" w:sz="0" w:space="0" w:color="auto"/>
                        <w:bottom w:val="none" w:sz="0" w:space="0" w:color="auto"/>
                        <w:right w:val="none" w:sz="0" w:space="0" w:color="auto"/>
                      </w:divBdr>
                      <w:divsChild>
                        <w:div w:id="1500459244">
                          <w:marLeft w:val="0"/>
                          <w:marRight w:val="0"/>
                          <w:marTop w:val="0"/>
                          <w:marBottom w:val="0"/>
                          <w:divBdr>
                            <w:top w:val="none" w:sz="0" w:space="0" w:color="auto"/>
                            <w:left w:val="none" w:sz="0" w:space="0" w:color="auto"/>
                            <w:bottom w:val="none" w:sz="0" w:space="0" w:color="auto"/>
                            <w:right w:val="none" w:sz="0" w:space="0" w:color="auto"/>
                          </w:divBdr>
                          <w:divsChild>
                            <w:div w:id="237059922">
                              <w:marLeft w:val="0"/>
                              <w:marRight w:val="0"/>
                              <w:marTop w:val="0"/>
                              <w:marBottom w:val="360"/>
                              <w:divBdr>
                                <w:top w:val="none" w:sz="0" w:space="0" w:color="auto"/>
                                <w:left w:val="none" w:sz="0" w:space="0" w:color="auto"/>
                                <w:bottom w:val="none" w:sz="0" w:space="0" w:color="auto"/>
                                <w:right w:val="none" w:sz="0" w:space="0" w:color="auto"/>
                              </w:divBdr>
                              <w:divsChild>
                                <w:div w:id="1214316584">
                                  <w:marLeft w:val="0"/>
                                  <w:marRight w:val="0"/>
                                  <w:marTop w:val="0"/>
                                  <w:marBottom w:val="0"/>
                                  <w:divBdr>
                                    <w:top w:val="none" w:sz="0" w:space="0" w:color="auto"/>
                                    <w:left w:val="none" w:sz="0" w:space="0" w:color="auto"/>
                                    <w:bottom w:val="none" w:sz="0" w:space="0" w:color="auto"/>
                                    <w:right w:val="none" w:sz="0" w:space="0" w:color="auto"/>
                                  </w:divBdr>
                                  <w:divsChild>
                                    <w:div w:id="750469343">
                                      <w:marLeft w:val="0"/>
                                      <w:marRight w:val="0"/>
                                      <w:marTop w:val="0"/>
                                      <w:marBottom w:val="0"/>
                                      <w:divBdr>
                                        <w:top w:val="none" w:sz="0" w:space="0" w:color="auto"/>
                                        <w:left w:val="none" w:sz="0" w:space="0" w:color="auto"/>
                                        <w:bottom w:val="none" w:sz="0" w:space="0" w:color="auto"/>
                                        <w:right w:val="none" w:sz="0" w:space="0" w:color="auto"/>
                                      </w:divBdr>
                                      <w:divsChild>
                                        <w:div w:id="121122930">
                                          <w:marLeft w:val="0"/>
                                          <w:marRight w:val="0"/>
                                          <w:marTop w:val="0"/>
                                          <w:marBottom w:val="0"/>
                                          <w:divBdr>
                                            <w:top w:val="none" w:sz="0" w:space="0" w:color="auto"/>
                                            <w:left w:val="none" w:sz="0" w:space="0" w:color="auto"/>
                                            <w:bottom w:val="none" w:sz="0" w:space="0" w:color="auto"/>
                                            <w:right w:val="none" w:sz="0" w:space="0" w:color="auto"/>
                                          </w:divBdr>
                                          <w:divsChild>
                                            <w:div w:id="873464195">
                                              <w:marLeft w:val="0"/>
                                              <w:marRight w:val="0"/>
                                              <w:marTop w:val="0"/>
                                              <w:marBottom w:val="0"/>
                                              <w:divBdr>
                                                <w:top w:val="none" w:sz="0" w:space="0" w:color="auto"/>
                                                <w:left w:val="none" w:sz="0" w:space="0" w:color="auto"/>
                                                <w:bottom w:val="none" w:sz="0" w:space="0" w:color="auto"/>
                                                <w:right w:val="none" w:sz="0" w:space="0" w:color="auto"/>
                                              </w:divBdr>
                                              <w:divsChild>
                                                <w:div w:id="5208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3153">
      <w:bodyDiv w:val="1"/>
      <w:marLeft w:val="0"/>
      <w:marRight w:val="0"/>
      <w:marTop w:val="0"/>
      <w:marBottom w:val="0"/>
      <w:divBdr>
        <w:top w:val="none" w:sz="0" w:space="0" w:color="auto"/>
        <w:left w:val="none" w:sz="0" w:space="0" w:color="auto"/>
        <w:bottom w:val="none" w:sz="0" w:space="0" w:color="auto"/>
        <w:right w:val="none" w:sz="0" w:space="0" w:color="auto"/>
      </w:divBdr>
      <w:divsChild>
        <w:div w:id="27530854">
          <w:marLeft w:val="446"/>
          <w:marRight w:val="0"/>
          <w:marTop w:val="0"/>
          <w:marBottom w:val="0"/>
          <w:divBdr>
            <w:top w:val="none" w:sz="0" w:space="0" w:color="auto"/>
            <w:left w:val="none" w:sz="0" w:space="0" w:color="auto"/>
            <w:bottom w:val="none" w:sz="0" w:space="0" w:color="auto"/>
            <w:right w:val="none" w:sz="0" w:space="0" w:color="auto"/>
          </w:divBdr>
        </w:div>
        <w:div w:id="391779450">
          <w:marLeft w:val="446"/>
          <w:marRight w:val="0"/>
          <w:marTop w:val="0"/>
          <w:marBottom w:val="0"/>
          <w:divBdr>
            <w:top w:val="none" w:sz="0" w:space="0" w:color="auto"/>
            <w:left w:val="none" w:sz="0" w:space="0" w:color="auto"/>
            <w:bottom w:val="none" w:sz="0" w:space="0" w:color="auto"/>
            <w:right w:val="none" w:sz="0" w:space="0" w:color="auto"/>
          </w:divBdr>
        </w:div>
        <w:div w:id="460346165">
          <w:marLeft w:val="446"/>
          <w:marRight w:val="0"/>
          <w:marTop w:val="0"/>
          <w:marBottom w:val="0"/>
          <w:divBdr>
            <w:top w:val="none" w:sz="0" w:space="0" w:color="auto"/>
            <w:left w:val="none" w:sz="0" w:space="0" w:color="auto"/>
            <w:bottom w:val="none" w:sz="0" w:space="0" w:color="auto"/>
            <w:right w:val="none" w:sz="0" w:space="0" w:color="auto"/>
          </w:divBdr>
        </w:div>
        <w:div w:id="270280214">
          <w:marLeft w:val="1166"/>
          <w:marRight w:val="0"/>
          <w:marTop w:val="0"/>
          <w:marBottom w:val="0"/>
          <w:divBdr>
            <w:top w:val="none" w:sz="0" w:space="0" w:color="auto"/>
            <w:left w:val="none" w:sz="0" w:space="0" w:color="auto"/>
            <w:bottom w:val="none" w:sz="0" w:space="0" w:color="auto"/>
            <w:right w:val="none" w:sz="0" w:space="0" w:color="auto"/>
          </w:divBdr>
        </w:div>
        <w:div w:id="846674569">
          <w:marLeft w:val="1166"/>
          <w:marRight w:val="0"/>
          <w:marTop w:val="0"/>
          <w:marBottom w:val="0"/>
          <w:divBdr>
            <w:top w:val="none" w:sz="0" w:space="0" w:color="auto"/>
            <w:left w:val="none" w:sz="0" w:space="0" w:color="auto"/>
            <w:bottom w:val="none" w:sz="0" w:space="0" w:color="auto"/>
            <w:right w:val="none" w:sz="0" w:space="0" w:color="auto"/>
          </w:divBdr>
        </w:div>
        <w:div w:id="2019891700">
          <w:marLeft w:val="1166"/>
          <w:marRight w:val="0"/>
          <w:marTop w:val="0"/>
          <w:marBottom w:val="0"/>
          <w:divBdr>
            <w:top w:val="none" w:sz="0" w:space="0" w:color="auto"/>
            <w:left w:val="none" w:sz="0" w:space="0" w:color="auto"/>
            <w:bottom w:val="none" w:sz="0" w:space="0" w:color="auto"/>
            <w:right w:val="none" w:sz="0" w:space="0" w:color="auto"/>
          </w:divBdr>
        </w:div>
        <w:div w:id="829909781">
          <w:marLeft w:val="446"/>
          <w:marRight w:val="0"/>
          <w:marTop w:val="0"/>
          <w:marBottom w:val="0"/>
          <w:divBdr>
            <w:top w:val="none" w:sz="0" w:space="0" w:color="auto"/>
            <w:left w:val="none" w:sz="0" w:space="0" w:color="auto"/>
            <w:bottom w:val="none" w:sz="0" w:space="0" w:color="auto"/>
            <w:right w:val="none" w:sz="0" w:space="0" w:color="auto"/>
          </w:divBdr>
        </w:div>
        <w:div w:id="680473466">
          <w:marLeft w:val="1166"/>
          <w:marRight w:val="0"/>
          <w:marTop w:val="0"/>
          <w:marBottom w:val="0"/>
          <w:divBdr>
            <w:top w:val="none" w:sz="0" w:space="0" w:color="auto"/>
            <w:left w:val="none" w:sz="0" w:space="0" w:color="auto"/>
            <w:bottom w:val="none" w:sz="0" w:space="0" w:color="auto"/>
            <w:right w:val="none" w:sz="0" w:space="0" w:color="auto"/>
          </w:divBdr>
        </w:div>
        <w:div w:id="1256744914">
          <w:marLeft w:val="1166"/>
          <w:marRight w:val="0"/>
          <w:marTop w:val="0"/>
          <w:marBottom w:val="0"/>
          <w:divBdr>
            <w:top w:val="none" w:sz="0" w:space="0" w:color="auto"/>
            <w:left w:val="none" w:sz="0" w:space="0" w:color="auto"/>
            <w:bottom w:val="none" w:sz="0" w:space="0" w:color="auto"/>
            <w:right w:val="none" w:sz="0" w:space="0" w:color="auto"/>
          </w:divBdr>
        </w:div>
        <w:div w:id="1828667899">
          <w:marLeft w:val="1166"/>
          <w:marRight w:val="0"/>
          <w:marTop w:val="0"/>
          <w:marBottom w:val="0"/>
          <w:divBdr>
            <w:top w:val="none" w:sz="0" w:space="0" w:color="auto"/>
            <w:left w:val="none" w:sz="0" w:space="0" w:color="auto"/>
            <w:bottom w:val="none" w:sz="0" w:space="0" w:color="auto"/>
            <w:right w:val="none" w:sz="0" w:space="0" w:color="auto"/>
          </w:divBdr>
        </w:div>
        <w:div w:id="674379115">
          <w:marLeft w:val="1166"/>
          <w:marRight w:val="0"/>
          <w:marTop w:val="0"/>
          <w:marBottom w:val="0"/>
          <w:divBdr>
            <w:top w:val="none" w:sz="0" w:space="0" w:color="auto"/>
            <w:left w:val="none" w:sz="0" w:space="0" w:color="auto"/>
            <w:bottom w:val="none" w:sz="0" w:space="0" w:color="auto"/>
            <w:right w:val="none" w:sz="0" w:space="0" w:color="auto"/>
          </w:divBdr>
        </w:div>
        <w:div w:id="737483813">
          <w:marLeft w:val="1166"/>
          <w:marRight w:val="0"/>
          <w:marTop w:val="0"/>
          <w:marBottom w:val="0"/>
          <w:divBdr>
            <w:top w:val="none" w:sz="0" w:space="0" w:color="auto"/>
            <w:left w:val="none" w:sz="0" w:space="0" w:color="auto"/>
            <w:bottom w:val="none" w:sz="0" w:space="0" w:color="auto"/>
            <w:right w:val="none" w:sz="0" w:space="0" w:color="auto"/>
          </w:divBdr>
        </w:div>
        <w:div w:id="2042972626">
          <w:marLeft w:val="446"/>
          <w:marRight w:val="0"/>
          <w:marTop w:val="0"/>
          <w:marBottom w:val="0"/>
          <w:divBdr>
            <w:top w:val="none" w:sz="0" w:space="0" w:color="auto"/>
            <w:left w:val="none" w:sz="0" w:space="0" w:color="auto"/>
            <w:bottom w:val="none" w:sz="0" w:space="0" w:color="auto"/>
            <w:right w:val="none" w:sz="0" w:space="0" w:color="auto"/>
          </w:divBdr>
        </w:div>
      </w:divsChild>
    </w:div>
    <w:div w:id="339040650">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27234633">
      <w:bodyDiv w:val="1"/>
      <w:marLeft w:val="0"/>
      <w:marRight w:val="0"/>
      <w:marTop w:val="0"/>
      <w:marBottom w:val="0"/>
      <w:divBdr>
        <w:top w:val="none" w:sz="0" w:space="0" w:color="auto"/>
        <w:left w:val="none" w:sz="0" w:space="0" w:color="auto"/>
        <w:bottom w:val="none" w:sz="0" w:space="0" w:color="auto"/>
        <w:right w:val="none" w:sz="0" w:space="0" w:color="auto"/>
      </w:divBdr>
      <w:divsChild>
        <w:div w:id="1394042664">
          <w:marLeft w:val="0"/>
          <w:marRight w:val="0"/>
          <w:marTop w:val="0"/>
          <w:marBottom w:val="0"/>
          <w:divBdr>
            <w:top w:val="none" w:sz="0" w:space="0" w:color="auto"/>
            <w:left w:val="none" w:sz="0" w:space="0" w:color="auto"/>
            <w:bottom w:val="none" w:sz="0" w:space="0" w:color="auto"/>
            <w:right w:val="none" w:sz="0" w:space="0" w:color="auto"/>
          </w:divBdr>
          <w:divsChild>
            <w:div w:id="568154267">
              <w:marLeft w:val="0"/>
              <w:marRight w:val="0"/>
              <w:marTop w:val="0"/>
              <w:marBottom w:val="0"/>
              <w:divBdr>
                <w:top w:val="none" w:sz="0" w:space="0" w:color="auto"/>
                <w:left w:val="none" w:sz="0" w:space="0" w:color="auto"/>
                <w:bottom w:val="none" w:sz="0" w:space="0" w:color="auto"/>
                <w:right w:val="none" w:sz="0" w:space="0" w:color="auto"/>
              </w:divBdr>
              <w:divsChild>
                <w:div w:id="334381972">
                  <w:marLeft w:val="0"/>
                  <w:marRight w:val="0"/>
                  <w:marTop w:val="0"/>
                  <w:marBottom w:val="0"/>
                  <w:divBdr>
                    <w:top w:val="none" w:sz="0" w:space="0" w:color="auto"/>
                    <w:left w:val="none" w:sz="0" w:space="0" w:color="auto"/>
                    <w:bottom w:val="none" w:sz="0" w:space="0" w:color="auto"/>
                    <w:right w:val="none" w:sz="0" w:space="0" w:color="auto"/>
                  </w:divBdr>
                  <w:divsChild>
                    <w:div w:id="1889143439">
                      <w:marLeft w:val="1"/>
                      <w:marRight w:val="1"/>
                      <w:marTop w:val="0"/>
                      <w:marBottom w:val="0"/>
                      <w:divBdr>
                        <w:top w:val="none" w:sz="0" w:space="0" w:color="auto"/>
                        <w:left w:val="none" w:sz="0" w:space="0" w:color="auto"/>
                        <w:bottom w:val="none" w:sz="0" w:space="0" w:color="auto"/>
                        <w:right w:val="none" w:sz="0" w:space="0" w:color="auto"/>
                      </w:divBdr>
                      <w:divsChild>
                        <w:div w:id="1210533555">
                          <w:marLeft w:val="0"/>
                          <w:marRight w:val="0"/>
                          <w:marTop w:val="0"/>
                          <w:marBottom w:val="0"/>
                          <w:divBdr>
                            <w:top w:val="none" w:sz="0" w:space="0" w:color="auto"/>
                            <w:left w:val="none" w:sz="0" w:space="0" w:color="auto"/>
                            <w:bottom w:val="none" w:sz="0" w:space="0" w:color="auto"/>
                            <w:right w:val="none" w:sz="0" w:space="0" w:color="auto"/>
                          </w:divBdr>
                          <w:divsChild>
                            <w:div w:id="507596027">
                              <w:marLeft w:val="0"/>
                              <w:marRight w:val="0"/>
                              <w:marTop w:val="0"/>
                              <w:marBottom w:val="360"/>
                              <w:divBdr>
                                <w:top w:val="none" w:sz="0" w:space="0" w:color="auto"/>
                                <w:left w:val="none" w:sz="0" w:space="0" w:color="auto"/>
                                <w:bottom w:val="none" w:sz="0" w:space="0" w:color="auto"/>
                                <w:right w:val="none" w:sz="0" w:space="0" w:color="auto"/>
                              </w:divBdr>
                              <w:divsChild>
                                <w:div w:id="1502965632">
                                  <w:marLeft w:val="0"/>
                                  <w:marRight w:val="0"/>
                                  <w:marTop w:val="0"/>
                                  <w:marBottom w:val="0"/>
                                  <w:divBdr>
                                    <w:top w:val="none" w:sz="0" w:space="0" w:color="auto"/>
                                    <w:left w:val="none" w:sz="0" w:space="0" w:color="auto"/>
                                    <w:bottom w:val="none" w:sz="0" w:space="0" w:color="auto"/>
                                    <w:right w:val="none" w:sz="0" w:space="0" w:color="auto"/>
                                  </w:divBdr>
                                  <w:divsChild>
                                    <w:div w:id="892035541">
                                      <w:marLeft w:val="0"/>
                                      <w:marRight w:val="0"/>
                                      <w:marTop w:val="0"/>
                                      <w:marBottom w:val="0"/>
                                      <w:divBdr>
                                        <w:top w:val="none" w:sz="0" w:space="0" w:color="auto"/>
                                        <w:left w:val="none" w:sz="0" w:space="0" w:color="auto"/>
                                        <w:bottom w:val="none" w:sz="0" w:space="0" w:color="auto"/>
                                        <w:right w:val="none" w:sz="0" w:space="0" w:color="auto"/>
                                      </w:divBdr>
                                      <w:divsChild>
                                        <w:div w:id="1662083560">
                                          <w:marLeft w:val="0"/>
                                          <w:marRight w:val="0"/>
                                          <w:marTop w:val="0"/>
                                          <w:marBottom w:val="0"/>
                                          <w:divBdr>
                                            <w:top w:val="none" w:sz="0" w:space="0" w:color="auto"/>
                                            <w:left w:val="none" w:sz="0" w:space="0" w:color="auto"/>
                                            <w:bottom w:val="none" w:sz="0" w:space="0" w:color="auto"/>
                                            <w:right w:val="none" w:sz="0" w:space="0" w:color="auto"/>
                                          </w:divBdr>
                                          <w:divsChild>
                                            <w:div w:id="1796170585">
                                              <w:marLeft w:val="0"/>
                                              <w:marRight w:val="0"/>
                                              <w:marTop w:val="0"/>
                                              <w:marBottom w:val="0"/>
                                              <w:divBdr>
                                                <w:top w:val="none" w:sz="0" w:space="0" w:color="auto"/>
                                                <w:left w:val="none" w:sz="0" w:space="0" w:color="auto"/>
                                                <w:bottom w:val="none" w:sz="0" w:space="0" w:color="auto"/>
                                                <w:right w:val="none" w:sz="0" w:space="0" w:color="auto"/>
                                              </w:divBdr>
                                              <w:divsChild>
                                                <w:div w:id="19724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452017818">
      <w:bodyDiv w:val="1"/>
      <w:marLeft w:val="0"/>
      <w:marRight w:val="0"/>
      <w:marTop w:val="0"/>
      <w:marBottom w:val="0"/>
      <w:divBdr>
        <w:top w:val="none" w:sz="0" w:space="0" w:color="auto"/>
        <w:left w:val="none" w:sz="0" w:space="0" w:color="auto"/>
        <w:bottom w:val="none" w:sz="0" w:space="0" w:color="auto"/>
        <w:right w:val="none" w:sz="0" w:space="0" w:color="auto"/>
      </w:divBdr>
    </w:div>
    <w:div w:id="486630035">
      <w:bodyDiv w:val="1"/>
      <w:marLeft w:val="0"/>
      <w:marRight w:val="0"/>
      <w:marTop w:val="0"/>
      <w:marBottom w:val="0"/>
      <w:divBdr>
        <w:top w:val="none" w:sz="0" w:space="0" w:color="auto"/>
        <w:left w:val="none" w:sz="0" w:space="0" w:color="auto"/>
        <w:bottom w:val="none" w:sz="0" w:space="0" w:color="auto"/>
        <w:right w:val="none" w:sz="0" w:space="0" w:color="auto"/>
      </w:divBdr>
      <w:divsChild>
        <w:div w:id="986010754">
          <w:marLeft w:val="0"/>
          <w:marRight w:val="0"/>
          <w:marTop w:val="0"/>
          <w:marBottom w:val="0"/>
          <w:divBdr>
            <w:top w:val="none" w:sz="0" w:space="0" w:color="auto"/>
            <w:left w:val="none" w:sz="0" w:space="0" w:color="auto"/>
            <w:bottom w:val="none" w:sz="0" w:space="0" w:color="auto"/>
            <w:right w:val="none" w:sz="0" w:space="0" w:color="auto"/>
          </w:divBdr>
          <w:divsChild>
            <w:div w:id="873923569">
              <w:marLeft w:val="0"/>
              <w:marRight w:val="0"/>
              <w:marTop w:val="0"/>
              <w:marBottom w:val="0"/>
              <w:divBdr>
                <w:top w:val="none" w:sz="0" w:space="0" w:color="auto"/>
                <w:left w:val="none" w:sz="0" w:space="0" w:color="auto"/>
                <w:bottom w:val="none" w:sz="0" w:space="0" w:color="auto"/>
                <w:right w:val="none" w:sz="0" w:space="0" w:color="auto"/>
              </w:divBdr>
              <w:divsChild>
                <w:div w:id="1180631131">
                  <w:marLeft w:val="0"/>
                  <w:marRight w:val="0"/>
                  <w:marTop w:val="0"/>
                  <w:marBottom w:val="0"/>
                  <w:divBdr>
                    <w:top w:val="none" w:sz="0" w:space="0" w:color="auto"/>
                    <w:left w:val="none" w:sz="0" w:space="0" w:color="auto"/>
                    <w:bottom w:val="none" w:sz="0" w:space="0" w:color="auto"/>
                    <w:right w:val="none" w:sz="0" w:space="0" w:color="auto"/>
                  </w:divBdr>
                  <w:divsChild>
                    <w:div w:id="2142385144">
                      <w:marLeft w:val="1"/>
                      <w:marRight w:val="1"/>
                      <w:marTop w:val="0"/>
                      <w:marBottom w:val="0"/>
                      <w:divBdr>
                        <w:top w:val="none" w:sz="0" w:space="0" w:color="auto"/>
                        <w:left w:val="none" w:sz="0" w:space="0" w:color="auto"/>
                        <w:bottom w:val="none" w:sz="0" w:space="0" w:color="auto"/>
                        <w:right w:val="none" w:sz="0" w:space="0" w:color="auto"/>
                      </w:divBdr>
                      <w:divsChild>
                        <w:div w:id="86852833">
                          <w:marLeft w:val="0"/>
                          <w:marRight w:val="0"/>
                          <w:marTop w:val="0"/>
                          <w:marBottom w:val="0"/>
                          <w:divBdr>
                            <w:top w:val="none" w:sz="0" w:space="0" w:color="auto"/>
                            <w:left w:val="none" w:sz="0" w:space="0" w:color="auto"/>
                            <w:bottom w:val="none" w:sz="0" w:space="0" w:color="auto"/>
                            <w:right w:val="none" w:sz="0" w:space="0" w:color="auto"/>
                          </w:divBdr>
                          <w:divsChild>
                            <w:div w:id="1744182401">
                              <w:marLeft w:val="0"/>
                              <w:marRight w:val="0"/>
                              <w:marTop w:val="0"/>
                              <w:marBottom w:val="360"/>
                              <w:divBdr>
                                <w:top w:val="none" w:sz="0" w:space="0" w:color="auto"/>
                                <w:left w:val="none" w:sz="0" w:space="0" w:color="auto"/>
                                <w:bottom w:val="none" w:sz="0" w:space="0" w:color="auto"/>
                                <w:right w:val="none" w:sz="0" w:space="0" w:color="auto"/>
                              </w:divBdr>
                              <w:divsChild>
                                <w:div w:id="1467315141">
                                  <w:marLeft w:val="0"/>
                                  <w:marRight w:val="0"/>
                                  <w:marTop w:val="0"/>
                                  <w:marBottom w:val="0"/>
                                  <w:divBdr>
                                    <w:top w:val="none" w:sz="0" w:space="0" w:color="auto"/>
                                    <w:left w:val="none" w:sz="0" w:space="0" w:color="auto"/>
                                    <w:bottom w:val="none" w:sz="0" w:space="0" w:color="auto"/>
                                    <w:right w:val="none" w:sz="0" w:space="0" w:color="auto"/>
                                  </w:divBdr>
                                  <w:divsChild>
                                    <w:div w:id="1171991944">
                                      <w:marLeft w:val="0"/>
                                      <w:marRight w:val="0"/>
                                      <w:marTop w:val="0"/>
                                      <w:marBottom w:val="0"/>
                                      <w:divBdr>
                                        <w:top w:val="none" w:sz="0" w:space="0" w:color="auto"/>
                                        <w:left w:val="none" w:sz="0" w:space="0" w:color="auto"/>
                                        <w:bottom w:val="none" w:sz="0" w:space="0" w:color="auto"/>
                                        <w:right w:val="none" w:sz="0" w:space="0" w:color="auto"/>
                                      </w:divBdr>
                                      <w:divsChild>
                                        <w:div w:id="17781574">
                                          <w:marLeft w:val="0"/>
                                          <w:marRight w:val="0"/>
                                          <w:marTop w:val="0"/>
                                          <w:marBottom w:val="0"/>
                                          <w:divBdr>
                                            <w:top w:val="none" w:sz="0" w:space="0" w:color="auto"/>
                                            <w:left w:val="none" w:sz="0" w:space="0" w:color="auto"/>
                                            <w:bottom w:val="none" w:sz="0" w:space="0" w:color="auto"/>
                                            <w:right w:val="none" w:sz="0" w:space="0" w:color="auto"/>
                                          </w:divBdr>
                                          <w:divsChild>
                                            <w:div w:id="1399669171">
                                              <w:marLeft w:val="0"/>
                                              <w:marRight w:val="0"/>
                                              <w:marTop w:val="0"/>
                                              <w:marBottom w:val="0"/>
                                              <w:divBdr>
                                                <w:top w:val="none" w:sz="0" w:space="0" w:color="auto"/>
                                                <w:left w:val="none" w:sz="0" w:space="0" w:color="auto"/>
                                                <w:bottom w:val="none" w:sz="0" w:space="0" w:color="auto"/>
                                                <w:right w:val="none" w:sz="0" w:space="0" w:color="auto"/>
                                              </w:divBdr>
                                              <w:divsChild>
                                                <w:div w:id="7865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989869">
      <w:bodyDiv w:val="1"/>
      <w:marLeft w:val="0"/>
      <w:marRight w:val="0"/>
      <w:marTop w:val="0"/>
      <w:marBottom w:val="0"/>
      <w:divBdr>
        <w:top w:val="none" w:sz="0" w:space="0" w:color="auto"/>
        <w:left w:val="none" w:sz="0" w:space="0" w:color="auto"/>
        <w:bottom w:val="none" w:sz="0" w:space="0" w:color="auto"/>
        <w:right w:val="none" w:sz="0" w:space="0" w:color="auto"/>
      </w:divBdr>
    </w:div>
    <w:div w:id="675809671">
      <w:bodyDiv w:val="1"/>
      <w:marLeft w:val="0"/>
      <w:marRight w:val="0"/>
      <w:marTop w:val="0"/>
      <w:marBottom w:val="0"/>
      <w:divBdr>
        <w:top w:val="none" w:sz="0" w:space="0" w:color="auto"/>
        <w:left w:val="none" w:sz="0" w:space="0" w:color="auto"/>
        <w:bottom w:val="none" w:sz="0" w:space="0" w:color="auto"/>
        <w:right w:val="none" w:sz="0" w:space="0" w:color="auto"/>
      </w:divBdr>
    </w:div>
    <w:div w:id="697897717">
      <w:bodyDiv w:val="1"/>
      <w:marLeft w:val="0"/>
      <w:marRight w:val="0"/>
      <w:marTop w:val="0"/>
      <w:marBottom w:val="0"/>
      <w:divBdr>
        <w:top w:val="none" w:sz="0" w:space="0" w:color="auto"/>
        <w:left w:val="none" w:sz="0" w:space="0" w:color="auto"/>
        <w:bottom w:val="none" w:sz="0" w:space="0" w:color="auto"/>
        <w:right w:val="none" w:sz="0" w:space="0" w:color="auto"/>
      </w:divBdr>
    </w:div>
    <w:div w:id="705451451">
      <w:bodyDiv w:val="1"/>
      <w:marLeft w:val="0"/>
      <w:marRight w:val="0"/>
      <w:marTop w:val="0"/>
      <w:marBottom w:val="0"/>
      <w:divBdr>
        <w:top w:val="none" w:sz="0" w:space="0" w:color="auto"/>
        <w:left w:val="none" w:sz="0" w:space="0" w:color="auto"/>
        <w:bottom w:val="none" w:sz="0" w:space="0" w:color="auto"/>
        <w:right w:val="none" w:sz="0" w:space="0" w:color="auto"/>
      </w:divBdr>
      <w:divsChild>
        <w:div w:id="533812398">
          <w:marLeft w:val="0"/>
          <w:marRight w:val="0"/>
          <w:marTop w:val="0"/>
          <w:marBottom w:val="0"/>
          <w:divBdr>
            <w:top w:val="none" w:sz="0" w:space="0" w:color="auto"/>
            <w:left w:val="none" w:sz="0" w:space="0" w:color="auto"/>
            <w:bottom w:val="none" w:sz="0" w:space="0" w:color="auto"/>
            <w:right w:val="none" w:sz="0" w:space="0" w:color="auto"/>
          </w:divBdr>
          <w:divsChild>
            <w:div w:id="1726490417">
              <w:marLeft w:val="0"/>
              <w:marRight w:val="0"/>
              <w:marTop w:val="0"/>
              <w:marBottom w:val="0"/>
              <w:divBdr>
                <w:top w:val="none" w:sz="0" w:space="0" w:color="auto"/>
                <w:left w:val="none" w:sz="0" w:space="0" w:color="auto"/>
                <w:bottom w:val="none" w:sz="0" w:space="0" w:color="auto"/>
                <w:right w:val="none" w:sz="0" w:space="0" w:color="auto"/>
              </w:divBdr>
              <w:divsChild>
                <w:div w:id="1714426520">
                  <w:marLeft w:val="0"/>
                  <w:marRight w:val="0"/>
                  <w:marTop w:val="0"/>
                  <w:marBottom w:val="0"/>
                  <w:divBdr>
                    <w:top w:val="none" w:sz="0" w:space="0" w:color="auto"/>
                    <w:left w:val="none" w:sz="0" w:space="0" w:color="auto"/>
                    <w:bottom w:val="none" w:sz="0" w:space="0" w:color="auto"/>
                    <w:right w:val="none" w:sz="0" w:space="0" w:color="auto"/>
                  </w:divBdr>
                  <w:divsChild>
                    <w:div w:id="1927956895">
                      <w:marLeft w:val="1"/>
                      <w:marRight w:val="1"/>
                      <w:marTop w:val="0"/>
                      <w:marBottom w:val="0"/>
                      <w:divBdr>
                        <w:top w:val="none" w:sz="0" w:space="0" w:color="auto"/>
                        <w:left w:val="none" w:sz="0" w:space="0" w:color="auto"/>
                        <w:bottom w:val="none" w:sz="0" w:space="0" w:color="auto"/>
                        <w:right w:val="none" w:sz="0" w:space="0" w:color="auto"/>
                      </w:divBdr>
                      <w:divsChild>
                        <w:div w:id="711081271">
                          <w:marLeft w:val="0"/>
                          <w:marRight w:val="0"/>
                          <w:marTop w:val="0"/>
                          <w:marBottom w:val="0"/>
                          <w:divBdr>
                            <w:top w:val="none" w:sz="0" w:space="0" w:color="auto"/>
                            <w:left w:val="none" w:sz="0" w:space="0" w:color="auto"/>
                            <w:bottom w:val="none" w:sz="0" w:space="0" w:color="auto"/>
                            <w:right w:val="none" w:sz="0" w:space="0" w:color="auto"/>
                          </w:divBdr>
                          <w:divsChild>
                            <w:div w:id="1843617503">
                              <w:marLeft w:val="0"/>
                              <w:marRight w:val="0"/>
                              <w:marTop w:val="0"/>
                              <w:marBottom w:val="360"/>
                              <w:divBdr>
                                <w:top w:val="none" w:sz="0" w:space="0" w:color="auto"/>
                                <w:left w:val="none" w:sz="0" w:space="0" w:color="auto"/>
                                <w:bottom w:val="none" w:sz="0" w:space="0" w:color="auto"/>
                                <w:right w:val="none" w:sz="0" w:space="0" w:color="auto"/>
                              </w:divBdr>
                              <w:divsChild>
                                <w:div w:id="1170289217">
                                  <w:marLeft w:val="0"/>
                                  <w:marRight w:val="0"/>
                                  <w:marTop w:val="0"/>
                                  <w:marBottom w:val="0"/>
                                  <w:divBdr>
                                    <w:top w:val="none" w:sz="0" w:space="0" w:color="auto"/>
                                    <w:left w:val="none" w:sz="0" w:space="0" w:color="auto"/>
                                    <w:bottom w:val="none" w:sz="0" w:space="0" w:color="auto"/>
                                    <w:right w:val="none" w:sz="0" w:space="0" w:color="auto"/>
                                  </w:divBdr>
                                  <w:divsChild>
                                    <w:div w:id="470827618">
                                      <w:marLeft w:val="0"/>
                                      <w:marRight w:val="0"/>
                                      <w:marTop w:val="0"/>
                                      <w:marBottom w:val="0"/>
                                      <w:divBdr>
                                        <w:top w:val="none" w:sz="0" w:space="0" w:color="auto"/>
                                        <w:left w:val="none" w:sz="0" w:space="0" w:color="auto"/>
                                        <w:bottom w:val="none" w:sz="0" w:space="0" w:color="auto"/>
                                        <w:right w:val="none" w:sz="0" w:space="0" w:color="auto"/>
                                      </w:divBdr>
                                      <w:divsChild>
                                        <w:div w:id="911236116">
                                          <w:marLeft w:val="0"/>
                                          <w:marRight w:val="0"/>
                                          <w:marTop w:val="0"/>
                                          <w:marBottom w:val="0"/>
                                          <w:divBdr>
                                            <w:top w:val="none" w:sz="0" w:space="0" w:color="auto"/>
                                            <w:left w:val="none" w:sz="0" w:space="0" w:color="auto"/>
                                            <w:bottom w:val="none" w:sz="0" w:space="0" w:color="auto"/>
                                            <w:right w:val="none" w:sz="0" w:space="0" w:color="auto"/>
                                          </w:divBdr>
                                          <w:divsChild>
                                            <w:div w:id="413673543">
                                              <w:marLeft w:val="0"/>
                                              <w:marRight w:val="0"/>
                                              <w:marTop w:val="0"/>
                                              <w:marBottom w:val="0"/>
                                              <w:divBdr>
                                                <w:top w:val="none" w:sz="0" w:space="0" w:color="auto"/>
                                                <w:left w:val="none" w:sz="0" w:space="0" w:color="auto"/>
                                                <w:bottom w:val="none" w:sz="0" w:space="0" w:color="auto"/>
                                                <w:right w:val="none" w:sz="0" w:space="0" w:color="auto"/>
                                              </w:divBdr>
                                              <w:divsChild>
                                                <w:div w:id="13941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735711841">
      <w:bodyDiv w:val="1"/>
      <w:marLeft w:val="0"/>
      <w:marRight w:val="0"/>
      <w:marTop w:val="0"/>
      <w:marBottom w:val="0"/>
      <w:divBdr>
        <w:top w:val="none" w:sz="0" w:space="0" w:color="auto"/>
        <w:left w:val="none" w:sz="0" w:space="0" w:color="auto"/>
        <w:bottom w:val="none" w:sz="0" w:space="0" w:color="auto"/>
        <w:right w:val="none" w:sz="0" w:space="0" w:color="auto"/>
      </w:divBdr>
    </w:div>
    <w:div w:id="787815971">
      <w:bodyDiv w:val="1"/>
      <w:marLeft w:val="0"/>
      <w:marRight w:val="0"/>
      <w:marTop w:val="0"/>
      <w:marBottom w:val="0"/>
      <w:divBdr>
        <w:top w:val="none" w:sz="0" w:space="0" w:color="auto"/>
        <w:left w:val="none" w:sz="0" w:space="0" w:color="auto"/>
        <w:bottom w:val="none" w:sz="0" w:space="0" w:color="auto"/>
        <w:right w:val="none" w:sz="0" w:space="0" w:color="auto"/>
      </w:divBdr>
      <w:divsChild>
        <w:div w:id="1665156966">
          <w:marLeft w:val="0"/>
          <w:marRight w:val="0"/>
          <w:marTop w:val="0"/>
          <w:marBottom w:val="0"/>
          <w:divBdr>
            <w:top w:val="none" w:sz="0" w:space="0" w:color="auto"/>
            <w:left w:val="none" w:sz="0" w:space="0" w:color="auto"/>
            <w:bottom w:val="none" w:sz="0" w:space="0" w:color="auto"/>
            <w:right w:val="none" w:sz="0" w:space="0" w:color="auto"/>
          </w:divBdr>
          <w:divsChild>
            <w:div w:id="1381440496">
              <w:marLeft w:val="0"/>
              <w:marRight w:val="0"/>
              <w:marTop w:val="0"/>
              <w:marBottom w:val="0"/>
              <w:divBdr>
                <w:top w:val="none" w:sz="0" w:space="0" w:color="auto"/>
                <w:left w:val="none" w:sz="0" w:space="0" w:color="auto"/>
                <w:bottom w:val="none" w:sz="0" w:space="0" w:color="auto"/>
                <w:right w:val="none" w:sz="0" w:space="0" w:color="auto"/>
              </w:divBdr>
              <w:divsChild>
                <w:div w:id="859666806">
                  <w:marLeft w:val="0"/>
                  <w:marRight w:val="0"/>
                  <w:marTop w:val="0"/>
                  <w:marBottom w:val="0"/>
                  <w:divBdr>
                    <w:top w:val="none" w:sz="0" w:space="0" w:color="auto"/>
                    <w:left w:val="none" w:sz="0" w:space="0" w:color="auto"/>
                    <w:bottom w:val="none" w:sz="0" w:space="0" w:color="auto"/>
                    <w:right w:val="none" w:sz="0" w:space="0" w:color="auto"/>
                  </w:divBdr>
                  <w:divsChild>
                    <w:div w:id="306278512">
                      <w:marLeft w:val="1"/>
                      <w:marRight w:val="1"/>
                      <w:marTop w:val="0"/>
                      <w:marBottom w:val="0"/>
                      <w:divBdr>
                        <w:top w:val="none" w:sz="0" w:space="0" w:color="auto"/>
                        <w:left w:val="none" w:sz="0" w:space="0" w:color="auto"/>
                        <w:bottom w:val="none" w:sz="0" w:space="0" w:color="auto"/>
                        <w:right w:val="none" w:sz="0" w:space="0" w:color="auto"/>
                      </w:divBdr>
                      <w:divsChild>
                        <w:div w:id="2051370005">
                          <w:marLeft w:val="0"/>
                          <w:marRight w:val="0"/>
                          <w:marTop w:val="0"/>
                          <w:marBottom w:val="0"/>
                          <w:divBdr>
                            <w:top w:val="none" w:sz="0" w:space="0" w:color="auto"/>
                            <w:left w:val="none" w:sz="0" w:space="0" w:color="auto"/>
                            <w:bottom w:val="none" w:sz="0" w:space="0" w:color="auto"/>
                            <w:right w:val="none" w:sz="0" w:space="0" w:color="auto"/>
                          </w:divBdr>
                          <w:divsChild>
                            <w:div w:id="2139495552">
                              <w:marLeft w:val="0"/>
                              <w:marRight w:val="0"/>
                              <w:marTop w:val="0"/>
                              <w:marBottom w:val="360"/>
                              <w:divBdr>
                                <w:top w:val="none" w:sz="0" w:space="0" w:color="auto"/>
                                <w:left w:val="none" w:sz="0" w:space="0" w:color="auto"/>
                                <w:bottom w:val="none" w:sz="0" w:space="0" w:color="auto"/>
                                <w:right w:val="none" w:sz="0" w:space="0" w:color="auto"/>
                              </w:divBdr>
                              <w:divsChild>
                                <w:div w:id="239798119">
                                  <w:marLeft w:val="0"/>
                                  <w:marRight w:val="0"/>
                                  <w:marTop w:val="0"/>
                                  <w:marBottom w:val="0"/>
                                  <w:divBdr>
                                    <w:top w:val="none" w:sz="0" w:space="0" w:color="auto"/>
                                    <w:left w:val="none" w:sz="0" w:space="0" w:color="auto"/>
                                    <w:bottom w:val="none" w:sz="0" w:space="0" w:color="auto"/>
                                    <w:right w:val="none" w:sz="0" w:space="0" w:color="auto"/>
                                  </w:divBdr>
                                  <w:divsChild>
                                    <w:div w:id="740098388">
                                      <w:marLeft w:val="0"/>
                                      <w:marRight w:val="0"/>
                                      <w:marTop w:val="0"/>
                                      <w:marBottom w:val="0"/>
                                      <w:divBdr>
                                        <w:top w:val="none" w:sz="0" w:space="0" w:color="auto"/>
                                        <w:left w:val="none" w:sz="0" w:space="0" w:color="auto"/>
                                        <w:bottom w:val="none" w:sz="0" w:space="0" w:color="auto"/>
                                        <w:right w:val="none" w:sz="0" w:space="0" w:color="auto"/>
                                      </w:divBdr>
                                      <w:divsChild>
                                        <w:div w:id="933243314">
                                          <w:marLeft w:val="0"/>
                                          <w:marRight w:val="0"/>
                                          <w:marTop w:val="0"/>
                                          <w:marBottom w:val="0"/>
                                          <w:divBdr>
                                            <w:top w:val="none" w:sz="0" w:space="0" w:color="auto"/>
                                            <w:left w:val="none" w:sz="0" w:space="0" w:color="auto"/>
                                            <w:bottom w:val="none" w:sz="0" w:space="0" w:color="auto"/>
                                            <w:right w:val="none" w:sz="0" w:space="0" w:color="auto"/>
                                          </w:divBdr>
                                          <w:divsChild>
                                            <w:div w:id="938754451">
                                              <w:marLeft w:val="0"/>
                                              <w:marRight w:val="0"/>
                                              <w:marTop w:val="0"/>
                                              <w:marBottom w:val="0"/>
                                              <w:divBdr>
                                                <w:top w:val="none" w:sz="0" w:space="0" w:color="auto"/>
                                                <w:left w:val="none" w:sz="0" w:space="0" w:color="auto"/>
                                                <w:bottom w:val="none" w:sz="0" w:space="0" w:color="auto"/>
                                                <w:right w:val="none" w:sz="0" w:space="0" w:color="auto"/>
                                              </w:divBdr>
                                              <w:divsChild>
                                                <w:div w:id="8751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7284">
      <w:bodyDiv w:val="1"/>
      <w:marLeft w:val="0"/>
      <w:marRight w:val="0"/>
      <w:marTop w:val="0"/>
      <w:marBottom w:val="0"/>
      <w:divBdr>
        <w:top w:val="none" w:sz="0" w:space="0" w:color="auto"/>
        <w:left w:val="none" w:sz="0" w:space="0" w:color="auto"/>
        <w:bottom w:val="none" w:sz="0" w:space="0" w:color="auto"/>
        <w:right w:val="none" w:sz="0" w:space="0" w:color="auto"/>
      </w:divBdr>
    </w:div>
    <w:div w:id="935401993">
      <w:bodyDiv w:val="1"/>
      <w:marLeft w:val="0"/>
      <w:marRight w:val="0"/>
      <w:marTop w:val="0"/>
      <w:marBottom w:val="0"/>
      <w:divBdr>
        <w:top w:val="none" w:sz="0" w:space="0" w:color="auto"/>
        <w:left w:val="none" w:sz="0" w:space="0" w:color="auto"/>
        <w:bottom w:val="none" w:sz="0" w:space="0" w:color="auto"/>
        <w:right w:val="none" w:sz="0" w:space="0" w:color="auto"/>
      </w:divBdr>
      <w:divsChild>
        <w:div w:id="1581016880">
          <w:marLeft w:val="0"/>
          <w:marRight w:val="0"/>
          <w:marTop w:val="0"/>
          <w:marBottom w:val="0"/>
          <w:divBdr>
            <w:top w:val="none" w:sz="0" w:space="0" w:color="auto"/>
            <w:left w:val="none" w:sz="0" w:space="0" w:color="auto"/>
            <w:bottom w:val="none" w:sz="0" w:space="0" w:color="auto"/>
            <w:right w:val="none" w:sz="0" w:space="0" w:color="auto"/>
          </w:divBdr>
          <w:divsChild>
            <w:div w:id="56173579">
              <w:marLeft w:val="0"/>
              <w:marRight w:val="0"/>
              <w:marTop w:val="0"/>
              <w:marBottom w:val="0"/>
              <w:divBdr>
                <w:top w:val="none" w:sz="0" w:space="0" w:color="auto"/>
                <w:left w:val="none" w:sz="0" w:space="0" w:color="auto"/>
                <w:bottom w:val="none" w:sz="0" w:space="0" w:color="auto"/>
                <w:right w:val="none" w:sz="0" w:space="0" w:color="auto"/>
              </w:divBdr>
              <w:divsChild>
                <w:div w:id="390465480">
                  <w:marLeft w:val="0"/>
                  <w:marRight w:val="0"/>
                  <w:marTop w:val="0"/>
                  <w:marBottom w:val="0"/>
                  <w:divBdr>
                    <w:top w:val="none" w:sz="0" w:space="0" w:color="auto"/>
                    <w:left w:val="none" w:sz="0" w:space="0" w:color="auto"/>
                    <w:bottom w:val="none" w:sz="0" w:space="0" w:color="auto"/>
                    <w:right w:val="none" w:sz="0" w:space="0" w:color="auto"/>
                  </w:divBdr>
                  <w:divsChild>
                    <w:div w:id="1778527572">
                      <w:marLeft w:val="1"/>
                      <w:marRight w:val="1"/>
                      <w:marTop w:val="0"/>
                      <w:marBottom w:val="0"/>
                      <w:divBdr>
                        <w:top w:val="none" w:sz="0" w:space="0" w:color="auto"/>
                        <w:left w:val="none" w:sz="0" w:space="0" w:color="auto"/>
                        <w:bottom w:val="none" w:sz="0" w:space="0" w:color="auto"/>
                        <w:right w:val="none" w:sz="0" w:space="0" w:color="auto"/>
                      </w:divBdr>
                      <w:divsChild>
                        <w:div w:id="956452929">
                          <w:marLeft w:val="0"/>
                          <w:marRight w:val="0"/>
                          <w:marTop w:val="0"/>
                          <w:marBottom w:val="0"/>
                          <w:divBdr>
                            <w:top w:val="none" w:sz="0" w:space="0" w:color="auto"/>
                            <w:left w:val="none" w:sz="0" w:space="0" w:color="auto"/>
                            <w:bottom w:val="none" w:sz="0" w:space="0" w:color="auto"/>
                            <w:right w:val="none" w:sz="0" w:space="0" w:color="auto"/>
                          </w:divBdr>
                          <w:divsChild>
                            <w:div w:id="69472792">
                              <w:marLeft w:val="0"/>
                              <w:marRight w:val="0"/>
                              <w:marTop w:val="0"/>
                              <w:marBottom w:val="360"/>
                              <w:divBdr>
                                <w:top w:val="none" w:sz="0" w:space="0" w:color="auto"/>
                                <w:left w:val="none" w:sz="0" w:space="0" w:color="auto"/>
                                <w:bottom w:val="none" w:sz="0" w:space="0" w:color="auto"/>
                                <w:right w:val="none" w:sz="0" w:space="0" w:color="auto"/>
                              </w:divBdr>
                              <w:divsChild>
                                <w:div w:id="1838305883">
                                  <w:marLeft w:val="0"/>
                                  <w:marRight w:val="0"/>
                                  <w:marTop w:val="0"/>
                                  <w:marBottom w:val="0"/>
                                  <w:divBdr>
                                    <w:top w:val="none" w:sz="0" w:space="0" w:color="auto"/>
                                    <w:left w:val="none" w:sz="0" w:space="0" w:color="auto"/>
                                    <w:bottom w:val="none" w:sz="0" w:space="0" w:color="auto"/>
                                    <w:right w:val="none" w:sz="0" w:space="0" w:color="auto"/>
                                  </w:divBdr>
                                  <w:divsChild>
                                    <w:div w:id="731387435">
                                      <w:marLeft w:val="0"/>
                                      <w:marRight w:val="0"/>
                                      <w:marTop w:val="0"/>
                                      <w:marBottom w:val="0"/>
                                      <w:divBdr>
                                        <w:top w:val="none" w:sz="0" w:space="0" w:color="auto"/>
                                        <w:left w:val="none" w:sz="0" w:space="0" w:color="auto"/>
                                        <w:bottom w:val="none" w:sz="0" w:space="0" w:color="auto"/>
                                        <w:right w:val="none" w:sz="0" w:space="0" w:color="auto"/>
                                      </w:divBdr>
                                      <w:divsChild>
                                        <w:div w:id="1244988741">
                                          <w:marLeft w:val="0"/>
                                          <w:marRight w:val="0"/>
                                          <w:marTop w:val="0"/>
                                          <w:marBottom w:val="0"/>
                                          <w:divBdr>
                                            <w:top w:val="none" w:sz="0" w:space="0" w:color="auto"/>
                                            <w:left w:val="none" w:sz="0" w:space="0" w:color="auto"/>
                                            <w:bottom w:val="none" w:sz="0" w:space="0" w:color="auto"/>
                                            <w:right w:val="none" w:sz="0" w:space="0" w:color="auto"/>
                                          </w:divBdr>
                                          <w:divsChild>
                                            <w:div w:id="1360669154">
                                              <w:marLeft w:val="0"/>
                                              <w:marRight w:val="0"/>
                                              <w:marTop w:val="0"/>
                                              <w:marBottom w:val="0"/>
                                              <w:divBdr>
                                                <w:top w:val="none" w:sz="0" w:space="0" w:color="auto"/>
                                                <w:left w:val="none" w:sz="0" w:space="0" w:color="auto"/>
                                                <w:bottom w:val="none" w:sz="0" w:space="0" w:color="auto"/>
                                                <w:right w:val="none" w:sz="0" w:space="0" w:color="auto"/>
                                              </w:divBdr>
                                              <w:divsChild>
                                                <w:div w:id="15757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840149">
      <w:bodyDiv w:val="1"/>
      <w:marLeft w:val="0"/>
      <w:marRight w:val="0"/>
      <w:marTop w:val="0"/>
      <w:marBottom w:val="0"/>
      <w:divBdr>
        <w:top w:val="none" w:sz="0" w:space="0" w:color="auto"/>
        <w:left w:val="none" w:sz="0" w:space="0" w:color="auto"/>
        <w:bottom w:val="none" w:sz="0" w:space="0" w:color="auto"/>
        <w:right w:val="none" w:sz="0" w:space="0" w:color="auto"/>
      </w:divBdr>
    </w:div>
    <w:div w:id="1006906506">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42680777">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054695584">
      <w:bodyDiv w:val="1"/>
      <w:marLeft w:val="0"/>
      <w:marRight w:val="0"/>
      <w:marTop w:val="0"/>
      <w:marBottom w:val="0"/>
      <w:divBdr>
        <w:top w:val="none" w:sz="0" w:space="0" w:color="auto"/>
        <w:left w:val="none" w:sz="0" w:space="0" w:color="auto"/>
        <w:bottom w:val="none" w:sz="0" w:space="0" w:color="auto"/>
        <w:right w:val="none" w:sz="0" w:space="0" w:color="auto"/>
      </w:divBdr>
    </w:div>
    <w:div w:id="1127434379">
      <w:bodyDiv w:val="1"/>
      <w:marLeft w:val="0"/>
      <w:marRight w:val="0"/>
      <w:marTop w:val="0"/>
      <w:marBottom w:val="0"/>
      <w:divBdr>
        <w:top w:val="none" w:sz="0" w:space="0" w:color="auto"/>
        <w:left w:val="none" w:sz="0" w:space="0" w:color="auto"/>
        <w:bottom w:val="none" w:sz="0" w:space="0" w:color="auto"/>
        <w:right w:val="none" w:sz="0" w:space="0" w:color="auto"/>
      </w:divBdr>
    </w:div>
    <w:div w:id="1142432014">
      <w:bodyDiv w:val="1"/>
      <w:marLeft w:val="0"/>
      <w:marRight w:val="0"/>
      <w:marTop w:val="0"/>
      <w:marBottom w:val="0"/>
      <w:divBdr>
        <w:top w:val="none" w:sz="0" w:space="0" w:color="auto"/>
        <w:left w:val="none" w:sz="0" w:space="0" w:color="auto"/>
        <w:bottom w:val="none" w:sz="0" w:space="0" w:color="auto"/>
        <w:right w:val="none" w:sz="0" w:space="0" w:color="auto"/>
      </w:divBdr>
    </w:div>
    <w:div w:id="1147629467">
      <w:bodyDiv w:val="1"/>
      <w:marLeft w:val="0"/>
      <w:marRight w:val="0"/>
      <w:marTop w:val="0"/>
      <w:marBottom w:val="0"/>
      <w:divBdr>
        <w:top w:val="none" w:sz="0" w:space="0" w:color="auto"/>
        <w:left w:val="none" w:sz="0" w:space="0" w:color="auto"/>
        <w:bottom w:val="none" w:sz="0" w:space="0" w:color="auto"/>
        <w:right w:val="none" w:sz="0" w:space="0" w:color="auto"/>
      </w:divBdr>
    </w:div>
    <w:div w:id="1227372525">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240795781">
      <w:bodyDiv w:val="1"/>
      <w:marLeft w:val="0"/>
      <w:marRight w:val="0"/>
      <w:marTop w:val="0"/>
      <w:marBottom w:val="0"/>
      <w:divBdr>
        <w:top w:val="none" w:sz="0" w:space="0" w:color="auto"/>
        <w:left w:val="none" w:sz="0" w:space="0" w:color="auto"/>
        <w:bottom w:val="none" w:sz="0" w:space="0" w:color="auto"/>
        <w:right w:val="none" w:sz="0" w:space="0" w:color="auto"/>
      </w:divBdr>
    </w:div>
    <w:div w:id="1253394971">
      <w:bodyDiv w:val="1"/>
      <w:marLeft w:val="0"/>
      <w:marRight w:val="0"/>
      <w:marTop w:val="0"/>
      <w:marBottom w:val="0"/>
      <w:divBdr>
        <w:top w:val="none" w:sz="0" w:space="0" w:color="auto"/>
        <w:left w:val="none" w:sz="0" w:space="0" w:color="auto"/>
        <w:bottom w:val="none" w:sz="0" w:space="0" w:color="auto"/>
        <w:right w:val="none" w:sz="0" w:space="0" w:color="auto"/>
      </w:divBdr>
    </w:div>
    <w:div w:id="1271939265">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57665855">
      <w:bodyDiv w:val="1"/>
      <w:marLeft w:val="0"/>
      <w:marRight w:val="0"/>
      <w:marTop w:val="0"/>
      <w:marBottom w:val="0"/>
      <w:divBdr>
        <w:top w:val="none" w:sz="0" w:space="0" w:color="auto"/>
        <w:left w:val="none" w:sz="0" w:space="0" w:color="auto"/>
        <w:bottom w:val="none" w:sz="0" w:space="0" w:color="auto"/>
        <w:right w:val="none" w:sz="0" w:space="0" w:color="auto"/>
      </w:divBdr>
      <w:divsChild>
        <w:div w:id="1130903945">
          <w:marLeft w:val="0"/>
          <w:marRight w:val="0"/>
          <w:marTop w:val="0"/>
          <w:marBottom w:val="0"/>
          <w:divBdr>
            <w:top w:val="none" w:sz="0" w:space="0" w:color="auto"/>
            <w:left w:val="none" w:sz="0" w:space="0" w:color="auto"/>
            <w:bottom w:val="none" w:sz="0" w:space="0" w:color="auto"/>
            <w:right w:val="none" w:sz="0" w:space="0" w:color="auto"/>
          </w:divBdr>
          <w:divsChild>
            <w:div w:id="1542746018">
              <w:marLeft w:val="0"/>
              <w:marRight w:val="0"/>
              <w:marTop w:val="0"/>
              <w:marBottom w:val="0"/>
              <w:divBdr>
                <w:top w:val="none" w:sz="0" w:space="0" w:color="auto"/>
                <w:left w:val="none" w:sz="0" w:space="0" w:color="auto"/>
                <w:bottom w:val="none" w:sz="0" w:space="0" w:color="auto"/>
                <w:right w:val="none" w:sz="0" w:space="0" w:color="auto"/>
              </w:divBdr>
              <w:divsChild>
                <w:div w:id="1603688226">
                  <w:marLeft w:val="0"/>
                  <w:marRight w:val="0"/>
                  <w:marTop w:val="0"/>
                  <w:marBottom w:val="0"/>
                  <w:divBdr>
                    <w:top w:val="none" w:sz="0" w:space="0" w:color="auto"/>
                    <w:left w:val="none" w:sz="0" w:space="0" w:color="auto"/>
                    <w:bottom w:val="none" w:sz="0" w:space="0" w:color="auto"/>
                    <w:right w:val="none" w:sz="0" w:space="0" w:color="auto"/>
                  </w:divBdr>
                  <w:divsChild>
                    <w:div w:id="649209621">
                      <w:marLeft w:val="1"/>
                      <w:marRight w:val="1"/>
                      <w:marTop w:val="0"/>
                      <w:marBottom w:val="0"/>
                      <w:divBdr>
                        <w:top w:val="none" w:sz="0" w:space="0" w:color="auto"/>
                        <w:left w:val="none" w:sz="0" w:space="0" w:color="auto"/>
                        <w:bottom w:val="none" w:sz="0" w:space="0" w:color="auto"/>
                        <w:right w:val="none" w:sz="0" w:space="0" w:color="auto"/>
                      </w:divBdr>
                      <w:divsChild>
                        <w:div w:id="495535316">
                          <w:marLeft w:val="0"/>
                          <w:marRight w:val="0"/>
                          <w:marTop w:val="0"/>
                          <w:marBottom w:val="0"/>
                          <w:divBdr>
                            <w:top w:val="none" w:sz="0" w:space="0" w:color="auto"/>
                            <w:left w:val="none" w:sz="0" w:space="0" w:color="auto"/>
                            <w:bottom w:val="none" w:sz="0" w:space="0" w:color="auto"/>
                            <w:right w:val="none" w:sz="0" w:space="0" w:color="auto"/>
                          </w:divBdr>
                          <w:divsChild>
                            <w:div w:id="1434084820">
                              <w:marLeft w:val="0"/>
                              <w:marRight w:val="0"/>
                              <w:marTop w:val="0"/>
                              <w:marBottom w:val="360"/>
                              <w:divBdr>
                                <w:top w:val="none" w:sz="0" w:space="0" w:color="auto"/>
                                <w:left w:val="none" w:sz="0" w:space="0" w:color="auto"/>
                                <w:bottom w:val="none" w:sz="0" w:space="0" w:color="auto"/>
                                <w:right w:val="none" w:sz="0" w:space="0" w:color="auto"/>
                              </w:divBdr>
                              <w:divsChild>
                                <w:div w:id="564607232">
                                  <w:marLeft w:val="0"/>
                                  <w:marRight w:val="0"/>
                                  <w:marTop w:val="0"/>
                                  <w:marBottom w:val="0"/>
                                  <w:divBdr>
                                    <w:top w:val="none" w:sz="0" w:space="0" w:color="auto"/>
                                    <w:left w:val="none" w:sz="0" w:space="0" w:color="auto"/>
                                    <w:bottom w:val="none" w:sz="0" w:space="0" w:color="auto"/>
                                    <w:right w:val="none" w:sz="0" w:space="0" w:color="auto"/>
                                  </w:divBdr>
                                  <w:divsChild>
                                    <w:div w:id="914783895">
                                      <w:marLeft w:val="0"/>
                                      <w:marRight w:val="0"/>
                                      <w:marTop w:val="0"/>
                                      <w:marBottom w:val="0"/>
                                      <w:divBdr>
                                        <w:top w:val="none" w:sz="0" w:space="0" w:color="auto"/>
                                        <w:left w:val="none" w:sz="0" w:space="0" w:color="auto"/>
                                        <w:bottom w:val="none" w:sz="0" w:space="0" w:color="auto"/>
                                        <w:right w:val="none" w:sz="0" w:space="0" w:color="auto"/>
                                      </w:divBdr>
                                      <w:divsChild>
                                        <w:div w:id="1481144303">
                                          <w:marLeft w:val="0"/>
                                          <w:marRight w:val="0"/>
                                          <w:marTop w:val="0"/>
                                          <w:marBottom w:val="0"/>
                                          <w:divBdr>
                                            <w:top w:val="none" w:sz="0" w:space="0" w:color="auto"/>
                                            <w:left w:val="none" w:sz="0" w:space="0" w:color="auto"/>
                                            <w:bottom w:val="none" w:sz="0" w:space="0" w:color="auto"/>
                                            <w:right w:val="none" w:sz="0" w:space="0" w:color="auto"/>
                                          </w:divBdr>
                                          <w:divsChild>
                                            <w:div w:id="1199244651">
                                              <w:marLeft w:val="0"/>
                                              <w:marRight w:val="0"/>
                                              <w:marTop w:val="0"/>
                                              <w:marBottom w:val="0"/>
                                              <w:divBdr>
                                                <w:top w:val="none" w:sz="0" w:space="0" w:color="auto"/>
                                                <w:left w:val="none" w:sz="0" w:space="0" w:color="auto"/>
                                                <w:bottom w:val="none" w:sz="0" w:space="0" w:color="auto"/>
                                                <w:right w:val="none" w:sz="0" w:space="0" w:color="auto"/>
                                              </w:divBdr>
                                              <w:divsChild>
                                                <w:div w:id="5431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824668">
      <w:bodyDiv w:val="1"/>
      <w:marLeft w:val="0"/>
      <w:marRight w:val="0"/>
      <w:marTop w:val="0"/>
      <w:marBottom w:val="0"/>
      <w:divBdr>
        <w:top w:val="none" w:sz="0" w:space="0" w:color="auto"/>
        <w:left w:val="none" w:sz="0" w:space="0" w:color="auto"/>
        <w:bottom w:val="none" w:sz="0" w:space="0" w:color="auto"/>
        <w:right w:val="none" w:sz="0" w:space="0" w:color="auto"/>
      </w:divBdr>
    </w:div>
    <w:div w:id="1585646557">
      <w:bodyDiv w:val="1"/>
      <w:marLeft w:val="0"/>
      <w:marRight w:val="0"/>
      <w:marTop w:val="0"/>
      <w:marBottom w:val="0"/>
      <w:divBdr>
        <w:top w:val="none" w:sz="0" w:space="0" w:color="auto"/>
        <w:left w:val="none" w:sz="0" w:space="0" w:color="auto"/>
        <w:bottom w:val="none" w:sz="0" w:space="0" w:color="auto"/>
        <w:right w:val="none" w:sz="0" w:space="0" w:color="auto"/>
      </w:divBdr>
    </w:div>
    <w:div w:id="1599682026">
      <w:bodyDiv w:val="1"/>
      <w:marLeft w:val="0"/>
      <w:marRight w:val="0"/>
      <w:marTop w:val="0"/>
      <w:marBottom w:val="0"/>
      <w:divBdr>
        <w:top w:val="none" w:sz="0" w:space="0" w:color="auto"/>
        <w:left w:val="none" w:sz="0" w:space="0" w:color="auto"/>
        <w:bottom w:val="none" w:sz="0" w:space="0" w:color="auto"/>
        <w:right w:val="none" w:sz="0" w:space="0" w:color="auto"/>
      </w:divBdr>
      <w:divsChild>
        <w:div w:id="113597082">
          <w:marLeft w:val="0"/>
          <w:marRight w:val="0"/>
          <w:marTop w:val="0"/>
          <w:marBottom w:val="0"/>
          <w:divBdr>
            <w:top w:val="none" w:sz="0" w:space="0" w:color="auto"/>
            <w:left w:val="none" w:sz="0" w:space="0" w:color="auto"/>
            <w:bottom w:val="none" w:sz="0" w:space="0" w:color="auto"/>
            <w:right w:val="none" w:sz="0" w:space="0" w:color="auto"/>
          </w:divBdr>
          <w:divsChild>
            <w:div w:id="1219244849">
              <w:marLeft w:val="0"/>
              <w:marRight w:val="0"/>
              <w:marTop w:val="0"/>
              <w:marBottom w:val="0"/>
              <w:divBdr>
                <w:top w:val="none" w:sz="0" w:space="0" w:color="auto"/>
                <w:left w:val="none" w:sz="0" w:space="0" w:color="auto"/>
                <w:bottom w:val="none" w:sz="0" w:space="0" w:color="auto"/>
                <w:right w:val="none" w:sz="0" w:space="0" w:color="auto"/>
              </w:divBdr>
              <w:divsChild>
                <w:div w:id="663093440">
                  <w:marLeft w:val="0"/>
                  <w:marRight w:val="0"/>
                  <w:marTop w:val="0"/>
                  <w:marBottom w:val="0"/>
                  <w:divBdr>
                    <w:top w:val="none" w:sz="0" w:space="0" w:color="auto"/>
                    <w:left w:val="none" w:sz="0" w:space="0" w:color="auto"/>
                    <w:bottom w:val="none" w:sz="0" w:space="0" w:color="auto"/>
                    <w:right w:val="none" w:sz="0" w:space="0" w:color="auto"/>
                  </w:divBdr>
                  <w:divsChild>
                    <w:div w:id="526722852">
                      <w:marLeft w:val="1"/>
                      <w:marRight w:val="1"/>
                      <w:marTop w:val="0"/>
                      <w:marBottom w:val="0"/>
                      <w:divBdr>
                        <w:top w:val="none" w:sz="0" w:space="0" w:color="auto"/>
                        <w:left w:val="none" w:sz="0" w:space="0" w:color="auto"/>
                        <w:bottom w:val="none" w:sz="0" w:space="0" w:color="auto"/>
                        <w:right w:val="none" w:sz="0" w:space="0" w:color="auto"/>
                      </w:divBdr>
                      <w:divsChild>
                        <w:div w:id="545064911">
                          <w:marLeft w:val="0"/>
                          <w:marRight w:val="0"/>
                          <w:marTop w:val="0"/>
                          <w:marBottom w:val="0"/>
                          <w:divBdr>
                            <w:top w:val="none" w:sz="0" w:space="0" w:color="auto"/>
                            <w:left w:val="none" w:sz="0" w:space="0" w:color="auto"/>
                            <w:bottom w:val="none" w:sz="0" w:space="0" w:color="auto"/>
                            <w:right w:val="none" w:sz="0" w:space="0" w:color="auto"/>
                          </w:divBdr>
                          <w:divsChild>
                            <w:div w:id="1467315659">
                              <w:marLeft w:val="0"/>
                              <w:marRight w:val="0"/>
                              <w:marTop w:val="0"/>
                              <w:marBottom w:val="360"/>
                              <w:divBdr>
                                <w:top w:val="none" w:sz="0" w:space="0" w:color="auto"/>
                                <w:left w:val="none" w:sz="0" w:space="0" w:color="auto"/>
                                <w:bottom w:val="none" w:sz="0" w:space="0" w:color="auto"/>
                                <w:right w:val="none" w:sz="0" w:space="0" w:color="auto"/>
                              </w:divBdr>
                              <w:divsChild>
                                <w:div w:id="1670597760">
                                  <w:marLeft w:val="0"/>
                                  <w:marRight w:val="0"/>
                                  <w:marTop w:val="0"/>
                                  <w:marBottom w:val="0"/>
                                  <w:divBdr>
                                    <w:top w:val="none" w:sz="0" w:space="0" w:color="auto"/>
                                    <w:left w:val="none" w:sz="0" w:space="0" w:color="auto"/>
                                    <w:bottom w:val="none" w:sz="0" w:space="0" w:color="auto"/>
                                    <w:right w:val="none" w:sz="0" w:space="0" w:color="auto"/>
                                  </w:divBdr>
                                  <w:divsChild>
                                    <w:div w:id="2117631968">
                                      <w:marLeft w:val="0"/>
                                      <w:marRight w:val="0"/>
                                      <w:marTop w:val="0"/>
                                      <w:marBottom w:val="0"/>
                                      <w:divBdr>
                                        <w:top w:val="none" w:sz="0" w:space="0" w:color="auto"/>
                                        <w:left w:val="none" w:sz="0" w:space="0" w:color="auto"/>
                                        <w:bottom w:val="none" w:sz="0" w:space="0" w:color="auto"/>
                                        <w:right w:val="none" w:sz="0" w:space="0" w:color="auto"/>
                                      </w:divBdr>
                                      <w:divsChild>
                                        <w:div w:id="2140369321">
                                          <w:marLeft w:val="0"/>
                                          <w:marRight w:val="0"/>
                                          <w:marTop w:val="0"/>
                                          <w:marBottom w:val="0"/>
                                          <w:divBdr>
                                            <w:top w:val="none" w:sz="0" w:space="0" w:color="auto"/>
                                            <w:left w:val="none" w:sz="0" w:space="0" w:color="auto"/>
                                            <w:bottom w:val="none" w:sz="0" w:space="0" w:color="auto"/>
                                            <w:right w:val="none" w:sz="0" w:space="0" w:color="auto"/>
                                          </w:divBdr>
                                          <w:divsChild>
                                            <w:div w:id="1965767417">
                                              <w:marLeft w:val="0"/>
                                              <w:marRight w:val="0"/>
                                              <w:marTop w:val="0"/>
                                              <w:marBottom w:val="0"/>
                                              <w:divBdr>
                                                <w:top w:val="none" w:sz="0" w:space="0" w:color="auto"/>
                                                <w:left w:val="none" w:sz="0" w:space="0" w:color="auto"/>
                                                <w:bottom w:val="none" w:sz="0" w:space="0" w:color="auto"/>
                                                <w:right w:val="none" w:sz="0" w:space="0" w:color="auto"/>
                                              </w:divBdr>
                                              <w:divsChild>
                                                <w:div w:id="10629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047409">
      <w:bodyDiv w:val="1"/>
      <w:marLeft w:val="0"/>
      <w:marRight w:val="0"/>
      <w:marTop w:val="0"/>
      <w:marBottom w:val="0"/>
      <w:divBdr>
        <w:top w:val="none" w:sz="0" w:space="0" w:color="auto"/>
        <w:left w:val="none" w:sz="0" w:space="0" w:color="auto"/>
        <w:bottom w:val="none" w:sz="0" w:space="0" w:color="auto"/>
        <w:right w:val="none" w:sz="0" w:space="0" w:color="auto"/>
      </w:divBdr>
    </w:div>
    <w:div w:id="1658536698">
      <w:bodyDiv w:val="1"/>
      <w:marLeft w:val="0"/>
      <w:marRight w:val="0"/>
      <w:marTop w:val="0"/>
      <w:marBottom w:val="0"/>
      <w:divBdr>
        <w:top w:val="none" w:sz="0" w:space="0" w:color="auto"/>
        <w:left w:val="none" w:sz="0" w:space="0" w:color="auto"/>
        <w:bottom w:val="none" w:sz="0" w:space="0" w:color="auto"/>
        <w:right w:val="none" w:sz="0" w:space="0" w:color="auto"/>
      </w:divBdr>
    </w:div>
    <w:div w:id="1689333624">
      <w:bodyDiv w:val="1"/>
      <w:marLeft w:val="0"/>
      <w:marRight w:val="0"/>
      <w:marTop w:val="0"/>
      <w:marBottom w:val="0"/>
      <w:divBdr>
        <w:top w:val="none" w:sz="0" w:space="0" w:color="auto"/>
        <w:left w:val="none" w:sz="0" w:space="0" w:color="auto"/>
        <w:bottom w:val="none" w:sz="0" w:space="0" w:color="auto"/>
        <w:right w:val="none" w:sz="0" w:space="0" w:color="auto"/>
      </w:divBdr>
    </w:div>
    <w:div w:id="1698846047">
      <w:bodyDiv w:val="1"/>
      <w:marLeft w:val="0"/>
      <w:marRight w:val="0"/>
      <w:marTop w:val="0"/>
      <w:marBottom w:val="0"/>
      <w:divBdr>
        <w:top w:val="none" w:sz="0" w:space="0" w:color="auto"/>
        <w:left w:val="none" w:sz="0" w:space="0" w:color="auto"/>
        <w:bottom w:val="none" w:sz="0" w:space="0" w:color="auto"/>
        <w:right w:val="none" w:sz="0" w:space="0" w:color="auto"/>
      </w:divBdr>
      <w:divsChild>
        <w:div w:id="639770302">
          <w:marLeft w:val="0"/>
          <w:marRight w:val="0"/>
          <w:marTop w:val="0"/>
          <w:marBottom w:val="0"/>
          <w:divBdr>
            <w:top w:val="none" w:sz="0" w:space="0" w:color="auto"/>
            <w:left w:val="none" w:sz="0" w:space="0" w:color="auto"/>
            <w:bottom w:val="none" w:sz="0" w:space="0" w:color="auto"/>
            <w:right w:val="none" w:sz="0" w:space="0" w:color="auto"/>
          </w:divBdr>
          <w:divsChild>
            <w:div w:id="2085370902">
              <w:marLeft w:val="0"/>
              <w:marRight w:val="0"/>
              <w:marTop w:val="0"/>
              <w:marBottom w:val="0"/>
              <w:divBdr>
                <w:top w:val="none" w:sz="0" w:space="0" w:color="auto"/>
                <w:left w:val="none" w:sz="0" w:space="0" w:color="auto"/>
                <w:bottom w:val="none" w:sz="0" w:space="0" w:color="auto"/>
                <w:right w:val="none" w:sz="0" w:space="0" w:color="auto"/>
              </w:divBdr>
              <w:divsChild>
                <w:div w:id="87622105">
                  <w:marLeft w:val="0"/>
                  <w:marRight w:val="0"/>
                  <w:marTop w:val="0"/>
                  <w:marBottom w:val="0"/>
                  <w:divBdr>
                    <w:top w:val="none" w:sz="0" w:space="0" w:color="auto"/>
                    <w:left w:val="none" w:sz="0" w:space="0" w:color="auto"/>
                    <w:bottom w:val="none" w:sz="0" w:space="0" w:color="auto"/>
                    <w:right w:val="none" w:sz="0" w:space="0" w:color="auto"/>
                  </w:divBdr>
                  <w:divsChild>
                    <w:div w:id="1545874385">
                      <w:marLeft w:val="1"/>
                      <w:marRight w:val="1"/>
                      <w:marTop w:val="0"/>
                      <w:marBottom w:val="0"/>
                      <w:divBdr>
                        <w:top w:val="none" w:sz="0" w:space="0" w:color="auto"/>
                        <w:left w:val="none" w:sz="0" w:space="0" w:color="auto"/>
                        <w:bottom w:val="none" w:sz="0" w:space="0" w:color="auto"/>
                        <w:right w:val="none" w:sz="0" w:space="0" w:color="auto"/>
                      </w:divBdr>
                      <w:divsChild>
                        <w:div w:id="1627814970">
                          <w:marLeft w:val="0"/>
                          <w:marRight w:val="0"/>
                          <w:marTop w:val="0"/>
                          <w:marBottom w:val="0"/>
                          <w:divBdr>
                            <w:top w:val="none" w:sz="0" w:space="0" w:color="auto"/>
                            <w:left w:val="none" w:sz="0" w:space="0" w:color="auto"/>
                            <w:bottom w:val="none" w:sz="0" w:space="0" w:color="auto"/>
                            <w:right w:val="none" w:sz="0" w:space="0" w:color="auto"/>
                          </w:divBdr>
                          <w:divsChild>
                            <w:div w:id="824929016">
                              <w:marLeft w:val="0"/>
                              <w:marRight w:val="0"/>
                              <w:marTop w:val="0"/>
                              <w:marBottom w:val="360"/>
                              <w:divBdr>
                                <w:top w:val="none" w:sz="0" w:space="0" w:color="auto"/>
                                <w:left w:val="none" w:sz="0" w:space="0" w:color="auto"/>
                                <w:bottom w:val="none" w:sz="0" w:space="0" w:color="auto"/>
                                <w:right w:val="none" w:sz="0" w:space="0" w:color="auto"/>
                              </w:divBdr>
                              <w:divsChild>
                                <w:div w:id="1549295404">
                                  <w:marLeft w:val="0"/>
                                  <w:marRight w:val="0"/>
                                  <w:marTop w:val="0"/>
                                  <w:marBottom w:val="0"/>
                                  <w:divBdr>
                                    <w:top w:val="none" w:sz="0" w:space="0" w:color="auto"/>
                                    <w:left w:val="none" w:sz="0" w:space="0" w:color="auto"/>
                                    <w:bottom w:val="none" w:sz="0" w:space="0" w:color="auto"/>
                                    <w:right w:val="none" w:sz="0" w:space="0" w:color="auto"/>
                                  </w:divBdr>
                                  <w:divsChild>
                                    <w:div w:id="237522922">
                                      <w:marLeft w:val="0"/>
                                      <w:marRight w:val="0"/>
                                      <w:marTop w:val="0"/>
                                      <w:marBottom w:val="0"/>
                                      <w:divBdr>
                                        <w:top w:val="none" w:sz="0" w:space="0" w:color="auto"/>
                                        <w:left w:val="none" w:sz="0" w:space="0" w:color="auto"/>
                                        <w:bottom w:val="none" w:sz="0" w:space="0" w:color="auto"/>
                                        <w:right w:val="none" w:sz="0" w:space="0" w:color="auto"/>
                                      </w:divBdr>
                                      <w:divsChild>
                                        <w:div w:id="373627099">
                                          <w:marLeft w:val="0"/>
                                          <w:marRight w:val="0"/>
                                          <w:marTop w:val="0"/>
                                          <w:marBottom w:val="0"/>
                                          <w:divBdr>
                                            <w:top w:val="none" w:sz="0" w:space="0" w:color="auto"/>
                                            <w:left w:val="none" w:sz="0" w:space="0" w:color="auto"/>
                                            <w:bottom w:val="none" w:sz="0" w:space="0" w:color="auto"/>
                                            <w:right w:val="none" w:sz="0" w:space="0" w:color="auto"/>
                                          </w:divBdr>
                                          <w:divsChild>
                                            <w:div w:id="703215293">
                                              <w:marLeft w:val="0"/>
                                              <w:marRight w:val="0"/>
                                              <w:marTop w:val="0"/>
                                              <w:marBottom w:val="0"/>
                                              <w:divBdr>
                                                <w:top w:val="none" w:sz="0" w:space="0" w:color="auto"/>
                                                <w:left w:val="none" w:sz="0" w:space="0" w:color="auto"/>
                                                <w:bottom w:val="none" w:sz="0" w:space="0" w:color="auto"/>
                                                <w:right w:val="none" w:sz="0" w:space="0" w:color="auto"/>
                                              </w:divBdr>
                                              <w:divsChild>
                                                <w:div w:id="309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322099">
      <w:bodyDiv w:val="1"/>
      <w:marLeft w:val="0"/>
      <w:marRight w:val="0"/>
      <w:marTop w:val="0"/>
      <w:marBottom w:val="0"/>
      <w:divBdr>
        <w:top w:val="none" w:sz="0" w:space="0" w:color="auto"/>
        <w:left w:val="none" w:sz="0" w:space="0" w:color="auto"/>
        <w:bottom w:val="none" w:sz="0" w:space="0" w:color="auto"/>
        <w:right w:val="none" w:sz="0" w:space="0" w:color="auto"/>
      </w:divBdr>
      <w:divsChild>
        <w:div w:id="1268731829">
          <w:marLeft w:val="0"/>
          <w:marRight w:val="0"/>
          <w:marTop w:val="0"/>
          <w:marBottom w:val="0"/>
          <w:divBdr>
            <w:top w:val="none" w:sz="0" w:space="0" w:color="auto"/>
            <w:left w:val="none" w:sz="0" w:space="0" w:color="auto"/>
            <w:bottom w:val="none" w:sz="0" w:space="0" w:color="auto"/>
            <w:right w:val="none" w:sz="0" w:space="0" w:color="auto"/>
          </w:divBdr>
          <w:divsChild>
            <w:div w:id="1532259621">
              <w:marLeft w:val="0"/>
              <w:marRight w:val="0"/>
              <w:marTop w:val="0"/>
              <w:marBottom w:val="0"/>
              <w:divBdr>
                <w:top w:val="none" w:sz="0" w:space="0" w:color="auto"/>
                <w:left w:val="none" w:sz="0" w:space="0" w:color="auto"/>
                <w:bottom w:val="none" w:sz="0" w:space="0" w:color="auto"/>
                <w:right w:val="none" w:sz="0" w:space="0" w:color="auto"/>
              </w:divBdr>
              <w:divsChild>
                <w:div w:id="1662848627">
                  <w:marLeft w:val="0"/>
                  <w:marRight w:val="0"/>
                  <w:marTop w:val="0"/>
                  <w:marBottom w:val="0"/>
                  <w:divBdr>
                    <w:top w:val="none" w:sz="0" w:space="0" w:color="auto"/>
                    <w:left w:val="none" w:sz="0" w:space="0" w:color="auto"/>
                    <w:bottom w:val="none" w:sz="0" w:space="0" w:color="auto"/>
                    <w:right w:val="none" w:sz="0" w:space="0" w:color="auto"/>
                  </w:divBdr>
                  <w:divsChild>
                    <w:div w:id="6176161">
                      <w:marLeft w:val="1"/>
                      <w:marRight w:val="1"/>
                      <w:marTop w:val="0"/>
                      <w:marBottom w:val="0"/>
                      <w:divBdr>
                        <w:top w:val="none" w:sz="0" w:space="0" w:color="auto"/>
                        <w:left w:val="none" w:sz="0" w:space="0" w:color="auto"/>
                        <w:bottom w:val="none" w:sz="0" w:space="0" w:color="auto"/>
                        <w:right w:val="none" w:sz="0" w:space="0" w:color="auto"/>
                      </w:divBdr>
                      <w:divsChild>
                        <w:div w:id="1114441315">
                          <w:marLeft w:val="0"/>
                          <w:marRight w:val="0"/>
                          <w:marTop w:val="0"/>
                          <w:marBottom w:val="0"/>
                          <w:divBdr>
                            <w:top w:val="none" w:sz="0" w:space="0" w:color="auto"/>
                            <w:left w:val="none" w:sz="0" w:space="0" w:color="auto"/>
                            <w:bottom w:val="none" w:sz="0" w:space="0" w:color="auto"/>
                            <w:right w:val="none" w:sz="0" w:space="0" w:color="auto"/>
                          </w:divBdr>
                          <w:divsChild>
                            <w:div w:id="1086345126">
                              <w:marLeft w:val="0"/>
                              <w:marRight w:val="0"/>
                              <w:marTop w:val="0"/>
                              <w:marBottom w:val="360"/>
                              <w:divBdr>
                                <w:top w:val="none" w:sz="0" w:space="0" w:color="auto"/>
                                <w:left w:val="none" w:sz="0" w:space="0" w:color="auto"/>
                                <w:bottom w:val="none" w:sz="0" w:space="0" w:color="auto"/>
                                <w:right w:val="none" w:sz="0" w:space="0" w:color="auto"/>
                              </w:divBdr>
                              <w:divsChild>
                                <w:div w:id="419640762">
                                  <w:marLeft w:val="0"/>
                                  <w:marRight w:val="0"/>
                                  <w:marTop w:val="0"/>
                                  <w:marBottom w:val="0"/>
                                  <w:divBdr>
                                    <w:top w:val="none" w:sz="0" w:space="0" w:color="auto"/>
                                    <w:left w:val="none" w:sz="0" w:space="0" w:color="auto"/>
                                    <w:bottom w:val="none" w:sz="0" w:space="0" w:color="auto"/>
                                    <w:right w:val="none" w:sz="0" w:space="0" w:color="auto"/>
                                  </w:divBdr>
                                  <w:divsChild>
                                    <w:div w:id="1164005832">
                                      <w:marLeft w:val="0"/>
                                      <w:marRight w:val="0"/>
                                      <w:marTop w:val="0"/>
                                      <w:marBottom w:val="0"/>
                                      <w:divBdr>
                                        <w:top w:val="none" w:sz="0" w:space="0" w:color="auto"/>
                                        <w:left w:val="none" w:sz="0" w:space="0" w:color="auto"/>
                                        <w:bottom w:val="none" w:sz="0" w:space="0" w:color="auto"/>
                                        <w:right w:val="none" w:sz="0" w:space="0" w:color="auto"/>
                                      </w:divBdr>
                                      <w:divsChild>
                                        <w:div w:id="545023702">
                                          <w:marLeft w:val="0"/>
                                          <w:marRight w:val="0"/>
                                          <w:marTop w:val="0"/>
                                          <w:marBottom w:val="0"/>
                                          <w:divBdr>
                                            <w:top w:val="none" w:sz="0" w:space="0" w:color="auto"/>
                                            <w:left w:val="none" w:sz="0" w:space="0" w:color="auto"/>
                                            <w:bottom w:val="none" w:sz="0" w:space="0" w:color="auto"/>
                                            <w:right w:val="none" w:sz="0" w:space="0" w:color="auto"/>
                                          </w:divBdr>
                                          <w:divsChild>
                                            <w:div w:id="754673662">
                                              <w:marLeft w:val="0"/>
                                              <w:marRight w:val="0"/>
                                              <w:marTop w:val="0"/>
                                              <w:marBottom w:val="0"/>
                                              <w:divBdr>
                                                <w:top w:val="none" w:sz="0" w:space="0" w:color="auto"/>
                                                <w:left w:val="none" w:sz="0" w:space="0" w:color="auto"/>
                                                <w:bottom w:val="none" w:sz="0" w:space="0" w:color="auto"/>
                                                <w:right w:val="none" w:sz="0" w:space="0" w:color="auto"/>
                                              </w:divBdr>
                                              <w:divsChild>
                                                <w:div w:id="16101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485381">
      <w:bodyDiv w:val="1"/>
      <w:marLeft w:val="0"/>
      <w:marRight w:val="0"/>
      <w:marTop w:val="0"/>
      <w:marBottom w:val="0"/>
      <w:divBdr>
        <w:top w:val="none" w:sz="0" w:space="0" w:color="auto"/>
        <w:left w:val="none" w:sz="0" w:space="0" w:color="auto"/>
        <w:bottom w:val="none" w:sz="0" w:space="0" w:color="auto"/>
        <w:right w:val="none" w:sz="0" w:space="0" w:color="auto"/>
      </w:divBdr>
    </w:div>
    <w:div w:id="1832257903">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54488136">
      <w:bodyDiv w:val="1"/>
      <w:marLeft w:val="0"/>
      <w:marRight w:val="0"/>
      <w:marTop w:val="0"/>
      <w:marBottom w:val="0"/>
      <w:divBdr>
        <w:top w:val="none" w:sz="0" w:space="0" w:color="auto"/>
        <w:left w:val="none" w:sz="0" w:space="0" w:color="auto"/>
        <w:bottom w:val="none" w:sz="0" w:space="0" w:color="auto"/>
        <w:right w:val="none" w:sz="0" w:space="0" w:color="auto"/>
      </w:divBdr>
      <w:divsChild>
        <w:div w:id="1624578009">
          <w:marLeft w:val="0"/>
          <w:marRight w:val="0"/>
          <w:marTop w:val="0"/>
          <w:marBottom w:val="0"/>
          <w:divBdr>
            <w:top w:val="none" w:sz="0" w:space="0" w:color="auto"/>
            <w:left w:val="none" w:sz="0" w:space="0" w:color="auto"/>
            <w:bottom w:val="none" w:sz="0" w:space="0" w:color="auto"/>
            <w:right w:val="none" w:sz="0" w:space="0" w:color="auto"/>
          </w:divBdr>
          <w:divsChild>
            <w:div w:id="540559791">
              <w:marLeft w:val="0"/>
              <w:marRight w:val="0"/>
              <w:marTop w:val="0"/>
              <w:marBottom w:val="0"/>
              <w:divBdr>
                <w:top w:val="none" w:sz="0" w:space="0" w:color="auto"/>
                <w:left w:val="none" w:sz="0" w:space="0" w:color="auto"/>
                <w:bottom w:val="none" w:sz="0" w:space="0" w:color="auto"/>
                <w:right w:val="none" w:sz="0" w:space="0" w:color="auto"/>
              </w:divBdr>
              <w:divsChild>
                <w:div w:id="1867016460">
                  <w:marLeft w:val="0"/>
                  <w:marRight w:val="0"/>
                  <w:marTop w:val="0"/>
                  <w:marBottom w:val="0"/>
                  <w:divBdr>
                    <w:top w:val="none" w:sz="0" w:space="0" w:color="auto"/>
                    <w:left w:val="none" w:sz="0" w:space="0" w:color="auto"/>
                    <w:bottom w:val="none" w:sz="0" w:space="0" w:color="auto"/>
                    <w:right w:val="none" w:sz="0" w:space="0" w:color="auto"/>
                  </w:divBdr>
                  <w:divsChild>
                    <w:div w:id="1540121563">
                      <w:marLeft w:val="1"/>
                      <w:marRight w:val="1"/>
                      <w:marTop w:val="0"/>
                      <w:marBottom w:val="0"/>
                      <w:divBdr>
                        <w:top w:val="none" w:sz="0" w:space="0" w:color="auto"/>
                        <w:left w:val="none" w:sz="0" w:space="0" w:color="auto"/>
                        <w:bottom w:val="none" w:sz="0" w:space="0" w:color="auto"/>
                        <w:right w:val="none" w:sz="0" w:space="0" w:color="auto"/>
                      </w:divBdr>
                      <w:divsChild>
                        <w:div w:id="104347004">
                          <w:marLeft w:val="0"/>
                          <w:marRight w:val="0"/>
                          <w:marTop w:val="0"/>
                          <w:marBottom w:val="0"/>
                          <w:divBdr>
                            <w:top w:val="none" w:sz="0" w:space="0" w:color="auto"/>
                            <w:left w:val="none" w:sz="0" w:space="0" w:color="auto"/>
                            <w:bottom w:val="none" w:sz="0" w:space="0" w:color="auto"/>
                            <w:right w:val="none" w:sz="0" w:space="0" w:color="auto"/>
                          </w:divBdr>
                          <w:divsChild>
                            <w:div w:id="1755474695">
                              <w:marLeft w:val="0"/>
                              <w:marRight w:val="0"/>
                              <w:marTop w:val="0"/>
                              <w:marBottom w:val="360"/>
                              <w:divBdr>
                                <w:top w:val="none" w:sz="0" w:space="0" w:color="auto"/>
                                <w:left w:val="none" w:sz="0" w:space="0" w:color="auto"/>
                                <w:bottom w:val="none" w:sz="0" w:space="0" w:color="auto"/>
                                <w:right w:val="none" w:sz="0" w:space="0" w:color="auto"/>
                              </w:divBdr>
                              <w:divsChild>
                                <w:div w:id="1629969767">
                                  <w:marLeft w:val="0"/>
                                  <w:marRight w:val="0"/>
                                  <w:marTop w:val="0"/>
                                  <w:marBottom w:val="0"/>
                                  <w:divBdr>
                                    <w:top w:val="none" w:sz="0" w:space="0" w:color="auto"/>
                                    <w:left w:val="none" w:sz="0" w:space="0" w:color="auto"/>
                                    <w:bottom w:val="none" w:sz="0" w:space="0" w:color="auto"/>
                                    <w:right w:val="none" w:sz="0" w:space="0" w:color="auto"/>
                                  </w:divBdr>
                                  <w:divsChild>
                                    <w:div w:id="1137529751">
                                      <w:marLeft w:val="0"/>
                                      <w:marRight w:val="0"/>
                                      <w:marTop w:val="0"/>
                                      <w:marBottom w:val="0"/>
                                      <w:divBdr>
                                        <w:top w:val="none" w:sz="0" w:space="0" w:color="auto"/>
                                        <w:left w:val="none" w:sz="0" w:space="0" w:color="auto"/>
                                        <w:bottom w:val="none" w:sz="0" w:space="0" w:color="auto"/>
                                        <w:right w:val="none" w:sz="0" w:space="0" w:color="auto"/>
                                      </w:divBdr>
                                      <w:divsChild>
                                        <w:div w:id="1639652602">
                                          <w:marLeft w:val="0"/>
                                          <w:marRight w:val="0"/>
                                          <w:marTop w:val="0"/>
                                          <w:marBottom w:val="0"/>
                                          <w:divBdr>
                                            <w:top w:val="none" w:sz="0" w:space="0" w:color="auto"/>
                                            <w:left w:val="none" w:sz="0" w:space="0" w:color="auto"/>
                                            <w:bottom w:val="none" w:sz="0" w:space="0" w:color="auto"/>
                                            <w:right w:val="none" w:sz="0" w:space="0" w:color="auto"/>
                                          </w:divBdr>
                                          <w:divsChild>
                                            <w:div w:id="938559892">
                                              <w:marLeft w:val="0"/>
                                              <w:marRight w:val="0"/>
                                              <w:marTop w:val="0"/>
                                              <w:marBottom w:val="0"/>
                                              <w:divBdr>
                                                <w:top w:val="none" w:sz="0" w:space="0" w:color="auto"/>
                                                <w:left w:val="none" w:sz="0" w:space="0" w:color="auto"/>
                                                <w:bottom w:val="none" w:sz="0" w:space="0" w:color="auto"/>
                                                <w:right w:val="none" w:sz="0" w:space="0" w:color="auto"/>
                                              </w:divBdr>
                                              <w:divsChild>
                                                <w:div w:id="1007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28878978">
      <w:bodyDiv w:val="1"/>
      <w:marLeft w:val="0"/>
      <w:marRight w:val="0"/>
      <w:marTop w:val="0"/>
      <w:marBottom w:val="0"/>
      <w:divBdr>
        <w:top w:val="none" w:sz="0" w:space="0" w:color="auto"/>
        <w:left w:val="none" w:sz="0" w:space="0" w:color="auto"/>
        <w:bottom w:val="none" w:sz="0" w:space="0" w:color="auto"/>
        <w:right w:val="none" w:sz="0" w:space="0" w:color="auto"/>
      </w:divBdr>
      <w:divsChild>
        <w:div w:id="1563715821">
          <w:marLeft w:val="0"/>
          <w:marRight w:val="0"/>
          <w:marTop w:val="0"/>
          <w:marBottom w:val="0"/>
          <w:divBdr>
            <w:top w:val="none" w:sz="0" w:space="0" w:color="auto"/>
            <w:left w:val="none" w:sz="0" w:space="0" w:color="auto"/>
            <w:bottom w:val="none" w:sz="0" w:space="0" w:color="auto"/>
            <w:right w:val="none" w:sz="0" w:space="0" w:color="auto"/>
          </w:divBdr>
          <w:divsChild>
            <w:div w:id="1233153277">
              <w:marLeft w:val="0"/>
              <w:marRight w:val="0"/>
              <w:marTop w:val="0"/>
              <w:marBottom w:val="0"/>
              <w:divBdr>
                <w:top w:val="none" w:sz="0" w:space="0" w:color="auto"/>
                <w:left w:val="none" w:sz="0" w:space="0" w:color="auto"/>
                <w:bottom w:val="none" w:sz="0" w:space="0" w:color="auto"/>
                <w:right w:val="none" w:sz="0" w:space="0" w:color="auto"/>
              </w:divBdr>
              <w:divsChild>
                <w:div w:id="1031808712">
                  <w:marLeft w:val="0"/>
                  <w:marRight w:val="0"/>
                  <w:marTop w:val="0"/>
                  <w:marBottom w:val="0"/>
                  <w:divBdr>
                    <w:top w:val="none" w:sz="0" w:space="0" w:color="auto"/>
                    <w:left w:val="none" w:sz="0" w:space="0" w:color="auto"/>
                    <w:bottom w:val="none" w:sz="0" w:space="0" w:color="auto"/>
                    <w:right w:val="none" w:sz="0" w:space="0" w:color="auto"/>
                  </w:divBdr>
                  <w:divsChild>
                    <w:div w:id="1104766891">
                      <w:marLeft w:val="1"/>
                      <w:marRight w:val="1"/>
                      <w:marTop w:val="0"/>
                      <w:marBottom w:val="0"/>
                      <w:divBdr>
                        <w:top w:val="none" w:sz="0" w:space="0" w:color="auto"/>
                        <w:left w:val="none" w:sz="0" w:space="0" w:color="auto"/>
                        <w:bottom w:val="none" w:sz="0" w:space="0" w:color="auto"/>
                        <w:right w:val="none" w:sz="0" w:space="0" w:color="auto"/>
                      </w:divBdr>
                      <w:divsChild>
                        <w:div w:id="1822187692">
                          <w:marLeft w:val="0"/>
                          <w:marRight w:val="0"/>
                          <w:marTop w:val="0"/>
                          <w:marBottom w:val="0"/>
                          <w:divBdr>
                            <w:top w:val="none" w:sz="0" w:space="0" w:color="auto"/>
                            <w:left w:val="none" w:sz="0" w:space="0" w:color="auto"/>
                            <w:bottom w:val="none" w:sz="0" w:space="0" w:color="auto"/>
                            <w:right w:val="none" w:sz="0" w:space="0" w:color="auto"/>
                          </w:divBdr>
                          <w:divsChild>
                            <w:div w:id="603727287">
                              <w:marLeft w:val="0"/>
                              <w:marRight w:val="0"/>
                              <w:marTop w:val="0"/>
                              <w:marBottom w:val="360"/>
                              <w:divBdr>
                                <w:top w:val="none" w:sz="0" w:space="0" w:color="auto"/>
                                <w:left w:val="none" w:sz="0" w:space="0" w:color="auto"/>
                                <w:bottom w:val="none" w:sz="0" w:space="0" w:color="auto"/>
                                <w:right w:val="none" w:sz="0" w:space="0" w:color="auto"/>
                              </w:divBdr>
                              <w:divsChild>
                                <w:div w:id="790900213">
                                  <w:marLeft w:val="0"/>
                                  <w:marRight w:val="0"/>
                                  <w:marTop w:val="0"/>
                                  <w:marBottom w:val="0"/>
                                  <w:divBdr>
                                    <w:top w:val="none" w:sz="0" w:space="0" w:color="auto"/>
                                    <w:left w:val="none" w:sz="0" w:space="0" w:color="auto"/>
                                    <w:bottom w:val="none" w:sz="0" w:space="0" w:color="auto"/>
                                    <w:right w:val="none" w:sz="0" w:space="0" w:color="auto"/>
                                  </w:divBdr>
                                  <w:divsChild>
                                    <w:div w:id="2093770737">
                                      <w:marLeft w:val="0"/>
                                      <w:marRight w:val="0"/>
                                      <w:marTop w:val="0"/>
                                      <w:marBottom w:val="0"/>
                                      <w:divBdr>
                                        <w:top w:val="none" w:sz="0" w:space="0" w:color="auto"/>
                                        <w:left w:val="none" w:sz="0" w:space="0" w:color="auto"/>
                                        <w:bottom w:val="none" w:sz="0" w:space="0" w:color="auto"/>
                                        <w:right w:val="none" w:sz="0" w:space="0" w:color="auto"/>
                                      </w:divBdr>
                                      <w:divsChild>
                                        <w:div w:id="1913197306">
                                          <w:marLeft w:val="0"/>
                                          <w:marRight w:val="0"/>
                                          <w:marTop w:val="0"/>
                                          <w:marBottom w:val="0"/>
                                          <w:divBdr>
                                            <w:top w:val="none" w:sz="0" w:space="0" w:color="auto"/>
                                            <w:left w:val="none" w:sz="0" w:space="0" w:color="auto"/>
                                            <w:bottom w:val="none" w:sz="0" w:space="0" w:color="auto"/>
                                            <w:right w:val="none" w:sz="0" w:space="0" w:color="auto"/>
                                          </w:divBdr>
                                          <w:divsChild>
                                            <w:div w:id="1947346539">
                                              <w:marLeft w:val="0"/>
                                              <w:marRight w:val="0"/>
                                              <w:marTop w:val="0"/>
                                              <w:marBottom w:val="0"/>
                                              <w:divBdr>
                                                <w:top w:val="none" w:sz="0" w:space="0" w:color="auto"/>
                                                <w:left w:val="none" w:sz="0" w:space="0" w:color="auto"/>
                                                <w:bottom w:val="none" w:sz="0" w:space="0" w:color="auto"/>
                                                <w:right w:val="none" w:sz="0" w:space="0" w:color="auto"/>
                                              </w:divBdr>
                                              <w:divsChild>
                                                <w:div w:id="1893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396952">
      <w:bodyDiv w:val="1"/>
      <w:marLeft w:val="0"/>
      <w:marRight w:val="0"/>
      <w:marTop w:val="0"/>
      <w:marBottom w:val="0"/>
      <w:divBdr>
        <w:top w:val="none" w:sz="0" w:space="0" w:color="auto"/>
        <w:left w:val="none" w:sz="0" w:space="0" w:color="auto"/>
        <w:bottom w:val="none" w:sz="0" w:space="0" w:color="auto"/>
        <w:right w:val="none" w:sz="0" w:space="0" w:color="auto"/>
      </w:divBdr>
    </w:div>
    <w:div w:id="2008823956">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 w:id="2075544216">
      <w:bodyDiv w:val="1"/>
      <w:marLeft w:val="0"/>
      <w:marRight w:val="0"/>
      <w:marTop w:val="0"/>
      <w:marBottom w:val="0"/>
      <w:divBdr>
        <w:top w:val="none" w:sz="0" w:space="0" w:color="auto"/>
        <w:left w:val="none" w:sz="0" w:space="0" w:color="auto"/>
        <w:bottom w:val="none" w:sz="0" w:space="0" w:color="auto"/>
        <w:right w:val="none" w:sz="0" w:space="0" w:color="auto"/>
      </w:divBdr>
      <w:divsChild>
        <w:div w:id="1082873565">
          <w:marLeft w:val="0"/>
          <w:marRight w:val="0"/>
          <w:marTop w:val="0"/>
          <w:marBottom w:val="0"/>
          <w:divBdr>
            <w:top w:val="none" w:sz="0" w:space="0" w:color="auto"/>
            <w:left w:val="none" w:sz="0" w:space="0" w:color="auto"/>
            <w:bottom w:val="none" w:sz="0" w:space="0" w:color="auto"/>
            <w:right w:val="none" w:sz="0" w:space="0" w:color="auto"/>
          </w:divBdr>
          <w:divsChild>
            <w:div w:id="770125061">
              <w:marLeft w:val="0"/>
              <w:marRight w:val="0"/>
              <w:marTop w:val="0"/>
              <w:marBottom w:val="0"/>
              <w:divBdr>
                <w:top w:val="none" w:sz="0" w:space="0" w:color="auto"/>
                <w:left w:val="none" w:sz="0" w:space="0" w:color="auto"/>
                <w:bottom w:val="none" w:sz="0" w:space="0" w:color="auto"/>
                <w:right w:val="none" w:sz="0" w:space="0" w:color="auto"/>
              </w:divBdr>
              <w:divsChild>
                <w:div w:id="1235238013">
                  <w:marLeft w:val="0"/>
                  <w:marRight w:val="0"/>
                  <w:marTop w:val="0"/>
                  <w:marBottom w:val="0"/>
                  <w:divBdr>
                    <w:top w:val="none" w:sz="0" w:space="0" w:color="auto"/>
                    <w:left w:val="none" w:sz="0" w:space="0" w:color="auto"/>
                    <w:bottom w:val="none" w:sz="0" w:space="0" w:color="auto"/>
                    <w:right w:val="none" w:sz="0" w:space="0" w:color="auto"/>
                  </w:divBdr>
                  <w:divsChild>
                    <w:div w:id="131287487">
                      <w:marLeft w:val="1"/>
                      <w:marRight w:val="1"/>
                      <w:marTop w:val="0"/>
                      <w:marBottom w:val="0"/>
                      <w:divBdr>
                        <w:top w:val="none" w:sz="0" w:space="0" w:color="auto"/>
                        <w:left w:val="none" w:sz="0" w:space="0" w:color="auto"/>
                        <w:bottom w:val="none" w:sz="0" w:space="0" w:color="auto"/>
                        <w:right w:val="none" w:sz="0" w:space="0" w:color="auto"/>
                      </w:divBdr>
                      <w:divsChild>
                        <w:div w:id="938685580">
                          <w:marLeft w:val="0"/>
                          <w:marRight w:val="0"/>
                          <w:marTop w:val="0"/>
                          <w:marBottom w:val="0"/>
                          <w:divBdr>
                            <w:top w:val="none" w:sz="0" w:space="0" w:color="auto"/>
                            <w:left w:val="none" w:sz="0" w:space="0" w:color="auto"/>
                            <w:bottom w:val="none" w:sz="0" w:space="0" w:color="auto"/>
                            <w:right w:val="none" w:sz="0" w:space="0" w:color="auto"/>
                          </w:divBdr>
                          <w:divsChild>
                            <w:div w:id="16007831">
                              <w:marLeft w:val="0"/>
                              <w:marRight w:val="0"/>
                              <w:marTop w:val="0"/>
                              <w:marBottom w:val="360"/>
                              <w:divBdr>
                                <w:top w:val="none" w:sz="0" w:space="0" w:color="auto"/>
                                <w:left w:val="none" w:sz="0" w:space="0" w:color="auto"/>
                                <w:bottom w:val="none" w:sz="0" w:space="0" w:color="auto"/>
                                <w:right w:val="none" w:sz="0" w:space="0" w:color="auto"/>
                              </w:divBdr>
                              <w:divsChild>
                                <w:div w:id="1209345023">
                                  <w:marLeft w:val="0"/>
                                  <w:marRight w:val="0"/>
                                  <w:marTop w:val="0"/>
                                  <w:marBottom w:val="0"/>
                                  <w:divBdr>
                                    <w:top w:val="none" w:sz="0" w:space="0" w:color="auto"/>
                                    <w:left w:val="none" w:sz="0" w:space="0" w:color="auto"/>
                                    <w:bottom w:val="none" w:sz="0" w:space="0" w:color="auto"/>
                                    <w:right w:val="none" w:sz="0" w:space="0" w:color="auto"/>
                                  </w:divBdr>
                                  <w:divsChild>
                                    <w:div w:id="512956690">
                                      <w:marLeft w:val="0"/>
                                      <w:marRight w:val="0"/>
                                      <w:marTop w:val="0"/>
                                      <w:marBottom w:val="0"/>
                                      <w:divBdr>
                                        <w:top w:val="none" w:sz="0" w:space="0" w:color="auto"/>
                                        <w:left w:val="none" w:sz="0" w:space="0" w:color="auto"/>
                                        <w:bottom w:val="none" w:sz="0" w:space="0" w:color="auto"/>
                                        <w:right w:val="none" w:sz="0" w:space="0" w:color="auto"/>
                                      </w:divBdr>
                                      <w:divsChild>
                                        <w:div w:id="2046055614">
                                          <w:marLeft w:val="0"/>
                                          <w:marRight w:val="0"/>
                                          <w:marTop w:val="0"/>
                                          <w:marBottom w:val="0"/>
                                          <w:divBdr>
                                            <w:top w:val="none" w:sz="0" w:space="0" w:color="auto"/>
                                            <w:left w:val="none" w:sz="0" w:space="0" w:color="auto"/>
                                            <w:bottom w:val="none" w:sz="0" w:space="0" w:color="auto"/>
                                            <w:right w:val="none" w:sz="0" w:space="0" w:color="auto"/>
                                          </w:divBdr>
                                          <w:divsChild>
                                            <w:div w:id="1173910746">
                                              <w:marLeft w:val="0"/>
                                              <w:marRight w:val="0"/>
                                              <w:marTop w:val="0"/>
                                              <w:marBottom w:val="0"/>
                                              <w:divBdr>
                                                <w:top w:val="none" w:sz="0" w:space="0" w:color="auto"/>
                                                <w:left w:val="none" w:sz="0" w:space="0" w:color="auto"/>
                                                <w:bottom w:val="none" w:sz="0" w:space="0" w:color="auto"/>
                                                <w:right w:val="none" w:sz="0" w:space="0" w:color="auto"/>
                                              </w:divBdr>
                                              <w:divsChild>
                                                <w:div w:id="16665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3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9E4BF457E4F948BDEE228462223A5"/>
        <w:category>
          <w:name w:val="General"/>
          <w:gallery w:val="placeholder"/>
        </w:category>
        <w:types>
          <w:type w:val="bbPlcHdr"/>
        </w:types>
        <w:behaviors>
          <w:behavior w:val="content"/>
        </w:behaviors>
        <w:guid w:val="{60273205-47CB-42A7-8939-6B2BECE863D5}"/>
      </w:docPartPr>
      <w:docPartBody>
        <w:p w:rsidR="00506200" w:rsidRDefault="000D65D0" w:rsidP="000D65D0">
          <w:pPr>
            <w:pStyle w:val="32F9E4BF457E4F948BDEE228462223A5"/>
          </w:pPr>
          <w:r w:rsidRPr="00B353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rlow Semi Condensed">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D0"/>
    <w:rsid w:val="000D65D0"/>
    <w:rsid w:val="0050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5D0"/>
    <w:rPr>
      <w:color w:val="808080"/>
    </w:rPr>
  </w:style>
  <w:style w:type="paragraph" w:customStyle="1" w:styleId="32F9E4BF457E4F948BDEE228462223A5">
    <w:name w:val="32F9E4BF457E4F948BDEE228462223A5"/>
    <w:rsid w:val="000D6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AFA_x0020_document xmlns="8298d5bb-b52c-47fa-a0d1-ee44348ffb32">05 - Annex 03 - Policy on A&amp;S</SAFA_x0020_document>
    <Status xmlns="8298d5bb-b52c-47fa-a0d1-ee44348ffb32">RG CE approved</Status>
    <End_x0020_date xmlns="8298d5bb-b52c-47fa-a0d1-ee44348ffb32">Current version</End_x0020_date>
    <Start_x0020_date xmlns="8298d5bb-b52c-47fa-a0d1-ee44348ffb32">220311</Start_x0020_date>
    <Type_x0020_of_x0020_document xmlns="8298d5bb-b52c-47fa-a0d1-ee44348ffb32" xsi:nil="true"/>
    <Date_x0020_EiF xmlns="8298d5bb-b52c-47fa-a0d1-ee44348ffb3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a5b2ad40-3d87-40d6-9dec-a687ce6a7396"/>
    <ds:schemaRef ds:uri="http://schemas.microsoft.com/sharepoint/v4"/>
    <ds:schemaRef ds:uri="8298d5bb-b52c-47fa-a0d1-ee44348ffb32"/>
  </ds:schemaRefs>
</ds:datastoreItem>
</file>

<file path=customXml/itemProps2.xml><?xml version="1.0" encoding="utf-8"?>
<ds:datastoreItem xmlns:ds="http://schemas.openxmlformats.org/officeDocument/2006/customXml" ds:itemID="{908213ED-D79A-430A-BA05-AC9B987424A2}">
  <ds:schemaRefs>
    <ds:schemaRef ds:uri="http://schemas.openxmlformats.org/officeDocument/2006/bibliography"/>
  </ds:schemaRefs>
</ds:datastoreItem>
</file>

<file path=customXml/itemProps3.xml><?xml version="1.0" encoding="utf-8"?>
<ds:datastoreItem xmlns:ds="http://schemas.openxmlformats.org/officeDocument/2006/customXml" ds:itemID="{421C8713-B47F-4EB6-82DE-831824FCA7DC}">
  <ds:schemaRefs>
    <ds:schemaRef ds:uri="http://schemas.openxmlformats.org/officeDocument/2006/bibliography"/>
  </ds:schemaRefs>
</ds:datastoreItem>
</file>

<file path=customXml/itemProps4.xml><?xml version="1.0" encoding="utf-8"?>
<ds:datastoreItem xmlns:ds="http://schemas.openxmlformats.org/officeDocument/2006/customXml" ds:itemID="{06832AD9-A96A-4165-9B45-EC3E4EA10FEA}">
  <ds:schemaRefs>
    <ds:schemaRef ds:uri="http://schemas.openxmlformats.org/officeDocument/2006/bibliography"/>
  </ds:schemaRefs>
</ds:datastoreItem>
</file>

<file path=customXml/itemProps5.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6.xml><?xml version="1.0" encoding="utf-8"?>
<ds:datastoreItem xmlns:ds="http://schemas.openxmlformats.org/officeDocument/2006/customXml" ds:itemID="{8553A42F-33FB-4300-BD3D-94B62A671AE1}">
  <ds:schemaRefs>
    <ds:schemaRef ds:uri="http://schemas.openxmlformats.org/officeDocument/2006/bibliography"/>
  </ds:schemaRefs>
</ds:datastoreItem>
</file>

<file path=customXml/itemProps7.xml><?xml version="1.0" encoding="utf-8"?>
<ds:datastoreItem xmlns:ds="http://schemas.openxmlformats.org/officeDocument/2006/customXml" ds:itemID="{12622C43-63FF-4774-A09E-689CFEFB095B}">
  <ds:schemaRefs>
    <ds:schemaRef ds:uri="http://schemas.openxmlformats.org/officeDocument/2006/bibliography"/>
  </ds:schemaRefs>
</ds:datastoreItem>
</file>

<file path=customXml/itemProps8.xml><?xml version="1.0" encoding="utf-8"?>
<ds:datastoreItem xmlns:ds="http://schemas.openxmlformats.org/officeDocument/2006/customXml" ds:itemID="{996E7658-2F13-468E-90D8-923F7B312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10173</Words>
  <Characters>57989</Characters>
  <Application>Microsoft Office Word</Application>
  <DocSecurity>0</DocSecurity>
  <Lines>483</Lines>
  <Paragraphs>136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Supporting Paper for the Load-Frequency Control and Reserves Network Code</vt:lpstr>
      <vt:lpstr>Supporting Paper for the Load-Frequency Control and Reserves Network Code</vt:lpstr>
    </vt:vector>
  </TitlesOfParts>
  <Company>TransnetBW</Company>
  <LinksUpToDate>false</LinksUpToDate>
  <CharactersWithSpaces>68026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subject/>
  <dc:creator>Olivares Noguera, Sebastian</dc:creator>
  <cp:keywords/>
  <dc:description/>
  <cp:lastModifiedBy>Joseph Vandendorpe</cp:lastModifiedBy>
  <cp:revision>9</cp:revision>
  <cp:lastPrinted>2019-01-28T18:11:00Z</cp:lastPrinted>
  <dcterms:created xsi:type="dcterms:W3CDTF">2021-11-10T15:06:00Z</dcterms:created>
  <dcterms:modified xsi:type="dcterms:W3CDTF">2022-06-30T13:34:00Z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0x01010051EBA69E73190544A0E81B8C048425D4</vt:lpwstr>
  </property>
  <property fmtid="{D5CDD505-2E9C-101B-9397-08002B2CF9AE}" pid="4" name="TaxKeyword">
    <vt:lpwstr/>
  </property>
  <property fmtid="{D5CDD505-2E9C-101B-9397-08002B2CF9AE}" pid="5" name="Level of Disclosure">
    <vt:lpwstr/>
  </property>
  <property fmtid="{D5CDD505-2E9C-101B-9397-08002B2CF9AE}" pid="6" name="Data Classification">
    <vt:lpwstr>4019;#Open within ENTSO-E only|9abc0ec8-f4dc-4890-bc00-2ed7d301575a</vt:lpwstr>
  </property>
  <property fmtid="{D5CDD505-2E9C-101B-9397-08002B2CF9AE}" pid="7" name="Data Origin">
    <vt:lpwstr>4021;#Entso-E|8b8da1a5-4bab-488a-80fd-9db3fbf777b9</vt:lpwstr>
  </property>
</Properties>
</file>