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pPr w:leftFromText="142" w:rightFromText="142" w:topFromText="5528" w:vertAnchor="page" w:horzAnchor="margin" w:tblpY="5104"/>
        <w:tblW w:w="0" w:type="auto"/>
        <w:tblBorders>
          <w:top w:val="single" w:sz="8" w:space="0" w:color="23236E" w:themeColor="text2"/>
          <w:left w:val="none" w:sz="0" w:space="0" w:color="auto"/>
          <w:bottom w:val="single" w:sz="8" w:space="0" w:color="auto"/>
          <w:right w:val="none" w:sz="0" w:space="0" w:color="auto"/>
          <w:insideH w:val="single" w:sz="8" w:space="0" w:color="auto"/>
          <w:insideV w:val="single" w:sz="8" w:space="0" w:color="auto"/>
        </w:tblBorders>
        <w:tblLayout w:type="fixed"/>
        <w:tblCellMar>
          <w:left w:w="0" w:type="dxa"/>
          <w:right w:w="0" w:type="dxa"/>
        </w:tblCellMar>
        <w:tblLook w:val="06A0" w:firstRow="1" w:lastRow="0" w:firstColumn="1" w:lastColumn="0" w:noHBand="1" w:noVBand="1"/>
      </w:tblPr>
      <w:tblGrid>
        <w:gridCol w:w="9524"/>
      </w:tblGrid>
      <w:tr w:rsidR="00696EBB" w:rsidRPr="00D0537B" w14:paraId="4BCD4301" w14:textId="77777777" w:rsidTr="003D2C82">
        <w:trPr>
          <w:trHeight w:val="3182"/>
        </w:trPr>
        <w:tc>
          <w:tcPr>
            <w:tcW w:w="9524" w:type="dxa"/>
            <w:tcBorders>
              <w:bottom w:val="single" w:sz="8" w:space="0" w:color="23236E" w:themeColor="text2"/>
            </w:tcBorders>
            <w:tcMar>
              <w:top w:w="198" w:type="dxa"/>
            </w:tcMar>
          </w:tcPr>
          <w:bookmarkStart w:id="0" w:name="_Hlk510690547"/>
          <w:bookmarkStart w:id="1" w:name="_Hlk510690517"/>
          <w:p w14:paraId="49B97CE2" w14:textId="69ACF94F" w:rsidR="00696EBB" w:rsidRPr="00992ABA" w:rsidRDefault="00FB117E" w:rsidP="003D2C82">
            <w:pPr>
              <w:pStyle w:val="headlineheader"/>
              <w:spacing w:after="120" w:line="276" w:lineRule="auto"/>
              <w:jc w:val="center"/>
              <w:rPr>
                <w:sz w:val="44"/>
                <w:szCs w:val="44"/>
              </w:rPr>
            </w:pPr>
            <w:sdt>
              <w:sdtPr>
                <w:rPr>
                  <w:sz w:val="40"/>
                  <w:szCs w:val="40"/>
                  <w:lang w:val="en-US"/>
                </w:rPr>
                <w:alias w:val="Titel"/>
                <w:tag w:val="Titel"/>
                <w:id w:val="32412703"/>
                <w:placeholder>
                  <w:docPart w:val="DD2177B848EC4D8DAAF49E065A155815"/>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91520A">
                  <w:rPr>
                    <w:sz w:val="40"/>
                    <w:szCs w:val="40"/>
                    <w:lang w:val="en-US"/>
                  </w:rPr>
                  <w:t>All c</w:t>
                </w:r>
                <w:r w:rsidR="00301F55">
                  <w:rPr>
                    <w:sz w:val="40"/>
                    <w:szCs w:val="40"/>
                    <w:lang w:val="en-US"/>
                  </w:rPr>
                  <w:t>ontinental Europe</w:t>
                </w:r>
                <w:r w:rsidR="0091520A">
                  <w:rPr>
                    <w:sz w:val="40"/>
                    <w:szCs w:val="40"/>
                    <w:lang w:val="en-US"/>
                  </w:rPr>
                  <w:t>an</w:t>
                </w:r>
                <w:r w:rsidR="00301F55">
                  <w:rPr>
                    <w:sz w:val="40"/>
                    <w:szCs w:val="40"/>
                    <w:lang w:val="en-US"/>
                  </w:rPr>
                  <w:t xml:space="preserve"> TSOs’ proposal for Common settlement rules for all unintended exchanges of energy in accordance with the Article 51(1) of Commission Regulation (EU) 2017/2195 of 23 November 2017 establishing a guideline on electricity balancing</w:t>
                </w:r>
              </w:sdtContent>
            </w:sdt>
            <w:bookmarkEnd w:id="0"/>
            <w:r w:rsidR="007144CC" w:rsidRPr="00D0537B">
              <w:rPr>
                <w:sz w:val="44"/>
                <w:szCs w:val="44"/>
              </w:rPr>
              <w:t xml:space="preserve"> </w:t>
            </w:r>
          </w:p>
        </w:tc>
      </w:tr>
      <w:tr w:rsidR="00696EBB" w:rsidRPr="00D0537B" w14:paraId="30E1AA67" w14:textId="77777777" w:rsidTr="003D2C82">
        <w:trPr>
          <w:trHeight w:val="693"/>
        </w:trPr>
        <w:tc>
          <w:tcPr>
            <w:tcW w:w="9524" w:type="dxa"/>
            <w:tcBorders>
              <w:top w:val="single" w:sz="8" w:space="0" w:color="23236E" w:themeColor="text2"/>
              <w:bottom w:val="nil"/>
            </w:tcBorders>
            <w:tcMar>
              <w:bottom w:w="142" w:type="dxa"/>
            </w:tcMar>
          </w:tcPr>
          <w:p w14:paraId="4B5FAFA2" w14:textId="70754A33" w:rsidR="00696EBB" w:rsidRPr="00992ABA" w:rsidRDefault="007C701F" w:rsidP="004C3CEA">
            <w:pPr>
              <w:pStyle w:val="time"/>
              <w:framePr w:hSpace="0" w:vSpace="0" w:wrap="auto" w:vAnchor="margin" w:hAnchor="text" w:xAlign="left" w:yAlign="inline"/>
              <w:spacing w:before="200"/>
              <w:rPr>
                <w:lang w:val="en-GB"/>
              </w:rPr>
            </w:pPr>
            <w:r>
              <w:rPr>
                <w:lang w:val="en-GB"/>
              </w:rPr>
              <w:t>15 March 2020</w:t>
            </w:r>
          </w:p>
        </w:tc>
      </w:tr>
      <w:bookmarkEnd w:id="1"/>
    </w:tbl>
    <w:p w14:paraId="5C52EF02" w14:textId="77777777" w:rsidR="002A7EA8" w:rsidRPr="00D0537B" w:rsidRDefault="002A7EA8" w:rsidP="005E1BC2"/>
    <w:p w14:paraId="74A80567" w14:textId="77777777" w:rsidR="00C17E9C" w:rsidRPr="00D0537B" w:rsidRDefault="00C17E9C" w:rsidP="005E1BC2"/>
    <w:p w14:paraId="6CE42CE9" w14:textId="77777777" w:rsidR="00C17E9C" w:rsidRPr="00D0537B" w:rsidRDefault="00C17E9C" w:rsidP="005E1BC2"/>
    <w:p w14:paraId="089BE773" w14:textId="2486405E" w:rsidR="00C17E9C" w:rsidRPr="00D0537B" w:rsidRDefault="00C17E9C" w:rsidP="005E1BC2"/>
    <w:p w14:paraId="600AE38B" w14:textId="77777777" w:rsidR="00C17E9C" w:rsidRPr="00D0537B" w:rsidRDefault="00C17E9C" w:rsidP="005E1BC2"/>
    <w:p w14:paraId="1CC83140" w14:textId="7AD21970" w:rsidR="00C17E9C" w:rsidRDefault="00C17E9C" w:rsidP="005E1BC2"/>
    <w:p w14:paraId="4716315A" w14:textId="77777777" w:rsidR="00E63273" w:rsidRDefault="00E63273" w:rsidP="005E1BC2"/>
    <w:p w14:paraId="39702003" w14:textId="77777777" w:rsidR="00E63273" w:rsidRDefault="00E63273" w:rsidP="005E1BC2"/>
    <w:p w14:paraId="3C17727E" w14:textId="35D906F5" w:rsidR="00FD0023" w:rsidRDefault="00FD0023" w:rsidP="005E1BC2"/>
    <w:p w14:paraId="61ECBCF8" w14:textId="25AC1EBF" w:rsidR="00FD0023" w:rsidRDefault="00FD0023" w:rsidP="005E1BC2"/>
    <w:p w14:paraId="57244FCA" w14:textId="5CD85FE8" w:rsidR="00FD0023" w:rsidRDefault="00FD0023" w:rsidP="005E1BC2"/>
    <w:p w14:paraId="667D260D" w14:textId="578E620B" w:rsidR="00FD0023" w:rsidRDefault="00FD0023" w:rsidP="005E1BC2"/>
    <w:p w14:paraId="11658D9A" w14:textId="77777777" w:rsidR="00FD0023" w:rsidRDefault="00FD0023" w:rsidP="005E1BC2"/>
    <w:p w14:paraId="7DE09624" w14:textId="77777777" w:rsidR="002765B8" w:rsidRDefault="002765B8">
      <w:r>
        <w:br w:type="page"/>
      </w:r>
    </w:p>
    <w:p w14:paraId="7945E633" w14:textId="78177420" w:rsidR="00C17E9C" w:rsidRPr="00D0537B" w:rsidRDefault="00C17E9C" w:rsidP="005E1BC2"/>
    <w:sdt>
      <w:sdtPr>
        <w:rPr>
          <w:rFonts w:asciiTheme="minorHAnsi" w:hAnsiTheme="minorHAnsi" w:cstheme="minorBidi"/>
          <w:b/>
          <w:bCs/>
          <w:color w:val="auto"/>
          <w:sz w:val="22"/>
          <w:szCs w:val="22"/>
          <w:lang w:val="en-GB"/>
        </w:rPr>
        <w:id w:val="-1626690228"/>
        <w:docPartObj>
          <w:docPartGallery w:val="Table of Contents"/>
          <w:docPartUnique/>
        </w:docPartObj>
      </w:sdtPr>
      <w:sdtEndPr>
        <w:rPr>
          <w:b w:val="0"/>
          <w:bCs w:val="0"/>
          <w:noProof/>
        </w:rPr>
      </w:sdtEndPr>
      <w:sdtContent>
        <w:p w14:paraId="099D2E3D" w14:textId="749BE880" w:rsidR="007B3455" w:rsidRPr="00BE5580" w:rsidRDefault="0037308F" w:rsidP="00BE5580">
          <w:pPr>
            <w:pStyle w:val="textheader"/>
            <w:spacing w:after="120"/>
            <w:rPr>
              <w:rFonts w:ascii="Times New Roman" w:hAnsi="Times New Roman"/>
              <w:b/>
              <w:sz w:val="24"/>
              <w:szCs w:val="24"/>
              <w:lang w:val="en-GB"/>
            </w:rPr>
          </w:pPr>
          <w:r w:rsidRPr="00296E90">
            <w:rPr>
              <w:rFonts w:ascii="Times New Roman" w:hAnsi="Times New Roman"/>
              <w:b/>
              <w:sz w:val="24"/>
              <w:szCs w:val="24"/>
              <w:lang w:val="en-GB"/>
            </w:rPr>
            <w:t>Content</w:t>
          </w:r>
        </w:p>
        <w:p w14:paraId="7D21512F" w14:textId="4628F208" w:rsidR="00891161" w:rsidRDefault="00A934A6">
          <w:pPr>
            <w:pStyle w:val="Verzeichnis2"/>
            <w:tabs>
              <w:tab w:val="right" w:leader="dot" w:pos="9514"/>
            </w:tabs>
            <w:rPr>
              <w:rFonts w:eastAsiaTheme="minorEastAsia"/>
              <w:noProof/>
              <w:lang w:val="de-DE" w:eastAsia="de-DE"/>
            </w:rPr>
          </w:pPr>
          <w:r w:rsidRPr="00D0537B">
            <w:rPr>
              <w:rFonts w:asciiTheme="majorHAnsi" w:hAnsiTheme="majorHAnsi"/>
            </w:rPr>
            <w:fldChar w:fldCharType="begin"/>
          </w:r>
          <w:r w:rsidR="0037308F" w:rsidRPr="00D0537B">
            <w:instrText xml:space="preserve"> TOC \o "1-3" \h \z \u </w:instrText>
          </w:r>
          <w:r w:rsidRPr="00D0537B">
            <w:rPr>
              <w:rFonts w:asciiTheme="majorHAnsi" w:hAnsiTheme="majorHAnsi"/>
            </w:rPr>
            <w:fldChar w:fldCharType="separate"/>
          </w:r>
          <w:hyperlink w:anchor="_Toc32931245" w:history="1">
            <w:r w:rsidR="00891161" w:rsidRPr="00CC590D">
              <w:rPr>
                <w:rStyle w:val="Hyperlink"/>
                <w:noProof/>
              </w:rPr>
              <w:t>Whereas</w:t>
            </w:r>
            <w:r w:rsidR="00891161">
              <w:rPr>
                <w:noProof/>
                <w:webHidden/>
              </w:rPr>
              <w:tab/>
            </w:r>
            <w:r w:rsidR="00891161">
              <w:rPr>
                <w:noProof/>
                <w:webHidden/>
              </w:rPr>
              <w:fldChar w:fldCharType="begin"/>
            </w:r>
            <w:r w:rsidR="00891161">
              <w:rPr>
                <w:noProof/>
                <w:webHidden/>
              </w:rPr>
              <w:instrText xml:space="preserve"> PAGEREF _Toc32931245 \h </w:instrText>
            </w:r>
            <w:r w:rsidR="00891161">
              <w:rPr>
                <w:noProof/>
                <w:webHidden/>
              </w:rPr>
            </w:r>
            <w:r w:rsidR="00891161">
              <w:rPr>
                <w:noProof/>
                <w:webHidden/>
              </w:rPr>
              <w:fldChar w:fldCharType="separate"/>
            </w:r>
            <w:r w:rsidR="00891161">
              <w:rPr>
                <w:noProof/>
                <w:webHidden/>
              </w:rPr>
              <w:t>3</w:t>
            </w:r>
            <w:r w:rsidR="00891161">
              <w:rPr>
                <w:noProof/>
                <w:webHidden/>
              </w:rPr>
              <w:fldChar w:fldCharType="end"/>
            </w:r>
          </w:hyperlink>
        </w:p>
        <w:p w14:paraId="02347462" w14:textId="305988B1" w:rsidR="00891161" w:rsidRDefault="00891161">
          <w:pPr>
            <w:pStyle w:val="Verzeichnis2"/>
            <w:tabs>
              <w:tab w:val="right" w:leader="dot" w:pos="9514"/>
            </w:tabs>
            <w:rPr>
              <w:rFonts w:eastAsiaTheme="minorEastAsia"/>
              <w:noProof/>
              <w:lang w:val="de-DE" w:eastAsia="de-DE"/>
            </w:rPr>
          </w:pPr>
          <w:hyperlink w:anchor="_Toc32931246" w:history="1">
            <w:r w:rsidRPr="00CC590D">
              <w:rPr>
                <w:rStyle w:val="Hyperlink"/>
                <w:noProof/>
              </w:rPr>
              <w:t>Abbreviations</w:t>
            </w:r>
            <w:r>
              <w:rPr>
                <w:noProof/>
                <w:webHidden/>
              </w:rPr>
              <w:tab/>
            </w:r>
            <w:r>
              <w:rPr>
                <w:noProof/>
                <w:webHidden/>
              </w:rPr>
              <w:fldChar w:fldCharType="begin"/>
            </w:r>
            <w:r>
              <w:rPr>
                <w:noProof/>
                <w:webHidden/>
              </w:rPr>
              <w:instrText xml:space="preserve"> PAGEREF _Toc32931246 \h </w:instrText>
            </w:r>
            <w:r>
              <w:rPr>
                <w:noProof/>
                <w:webHidden/>
              </w:rPr>
            </w:r>
            <w:r>
              <w:rPr>
                <w:noProof/>
                <w:webHidden/>
              </w:rPr>
              <w:fldChar w:fldCharType="separate"/>
            </w:r>
            <w:r>
              <w:rPr>
                <w:noProof/>
                <w:webHidden/>
              </w:rPr>
              <w:t>5</w:t>
            </w:r>
            <w:r>
              <w:rPr>
                <w:noProof/>
                <w:webHidden/>
              </w:rPr>
              <w:fldChar w:fldCharType="end"/>
            </w:r>
          </w:hyperlink>
        </w:p>
        <w:p w14:paraId="31619444" w14:textId="79AC0E27" w:rsidR="00891161" w:rsidRDefault="00891161">
          <w:pPr>
            <w:pStyle w:val="Verzeichnis2"/>
            <w:tabs>
              <w:tab w:val="right" w:leader="dot" w:pos="9514"/>
            </w:tabs>
            <w:rPr>
              <w:rFonts w:eastAsiaTheme="minorEastAsia"/>
              <w:noProof/>
              <w:lang w:val="de-DE" w:eastAsia="de-DE"/>
            </w:rPr>
          </w:pPr>
          <w:hyperlink w:anchor="_Toc32931247" w:history="1">
            <w:r w:rsidRPr="00CC590D">
              <w:rPr>
                <w:rStyle w:val="Hyperlink"/>
                <w:noProof/>
              </w:rPr>
              <w:t>Article 1 Subject matter and scope</w:t>
            </w:r>
            <w:r>
              <w:rPr>
                <w:noProof/>
                <w:webHidden/>
              </w:rPr>
              <w:tab/>
            </w:r>
            <w:r>
              <w:rPr>
                <w:noProof/>
                <w:webHidden/>
              </w:rPr>
              <w:fldChar w:fldCharType="begin"/>
            </w:r>
            <w:r>
              <w:rPr>
                <w:noProof/>
                <w:webHidden/>
              </w:rPr>
              <w:instrText xml:space="preserve"> PAGEREF _Toc32931247 \h </w:instrText>
            </w:r>
            <w:r>
              <w:rPr>
                <w:noProof/>
                <w:webHidden/>
              </w:rPr>
            </w:r>
            <w:r>
              <w:rPr>
                <w:noProof/>
                <w:webHidden/>
              </w:rPr>
              <w:fldChar w:fldCharType="separate"/>
            </w:r>
            <w:r>
              <w:rPr>
                <w:noProof/>
                <w:webHidden/>
              </w:rPr>
              <w:t>6</w:t>
            </w:r>
            <w:r>
              <w:rPr>
                <w:noProof/>
                <w:webHidden/>
              </w:rPr>
              <w:fldChar w:fldCharType="end"/>
            </w:r>
          </w:hyperlink>
        </w:p>
        <w:p w14:paraId="0781C52F" w14:textId="6C8C459B" w:rsidR="00891161" w:rsidRDefault="00891161">
          <w:pPr>
            <w:pStyle w:val="Verzeichnis2"/>
            <w:tabs>
              <w:tab w:val="right" w:leader="dot" w:pos="9514"/>
            </w:tabs>
            <w:rPr>
              <w:rFonts w:eastAsiaTheme="minorEastAsia"/>
              <w:noProof/>
              <w:lang w:val="de-DE" w:eastAsia="de-DE"/>
            </w:rPr>
          </w:pPr>
          <w:hyperlink w:anchor="_Toc32931248" w:history="1">
            <w:r w:rsidRPr="00CC590D">
              <w:rPr>
                <w:rStyle w:val="Hyperlink"/>
                <w:noProof/>
              </w:rPr>
              <w:t>Article 2 Definitions and interpretation</w:t>
            </w:r>
            <w:r>
              <w:rPr>
                <w:noProof/>
                <w:webHidden/>
              </w:rPr>
              <w:tab/>
            </w:r>
            <w:r>
              <w:rPr>
                <w:noProof/>
                <w:webHidden/>
              </w:rPr>
              <w:fldChar w:fldCharType="begin"/>
            </w:r>
            <w:r>
              <w:rPr>
                <w:noProof/>
                <w:webHidden/>
              </w:rPr>
              <w:instrText xml:space="preserve"> PAGEREF _Toc32931248 \h </w:instrText>
            </w:r>
            <w:r>
              <w:rPr>
                <w:noProof/>
                <w:webHidden/>
              </w:rPr>
            </w:r>
            <w:r>
              <w:rPr>
                <w:noProof/>
                <w:webHidden/>
              </w:rPr>
              <w:fldChar w:fldCharType="separate"/>
            </w:r>
            <w:r>
              <w:rPr>
                <w:noProof/>
                <w:webHidden/>
              </w:rPr>
              <w:t>6</w:t>
            </w:r>
            <w:r>
              <w:rPr>
                <w:noProof/>
                <w:webHidden/>
              </w:rPr>
              <w:fldChar w:fldCharType="end"/>
            </w:r>
          </w:hyperlink>
        </w:p>
        <w:p w14:paraId="18764357" w14:textId="14E77013" w:rsidR="00891161" w:rsidRDefault="00891161">
          <w:pPr>
            <w:pStyle w:val="Verzeichnis2"/>
            <w:tabs>
              <w:tab w:val="right" w:leader="dot" w:pos="9514"/>
            </w:tabs>
            <w:rPr>
              <w:rFonts w:eastAsiaTheme="minorEastAsia"/>
              <w:noProof/>
              <w:lang w:val="de-DE" w:eastAsia="de-DE"/>
            </w:rPr>
          </w:pPr>
          <w:hyperlink w:anchor="_Toc32931249" w:history="1">
            <w:r w:rsidRPr="00CC590D">
              <w:rPr>
                <w:rStyle w:val="Hyperlink"/>
                <w:noProof/>
              </w:rPr>
              <w:t>Article 3 High-level design of the common settlement</w:t>
            </w:r>
            <w:r>
              <w:rPr>
                <w:noProof/>
                <w:webHidden/>
              </w:rPr>
              <w:tab/>
            </w:r>
            <w:r>
              <w:rPr>
                <w:noProof/>
                <w:webHidden/>
              </w:rPr>
              <w:fldChar w:fldCharType="begin"/>
            </w:r>
            <w:r>
              <w:rPr>
                <w:noProof/>
                <w:webHidden/>
              </w:rPr>
              <w:instrText xml:space="preserve"> PAGEREF _Toc32931249 \h </w:instrText>
            </w:r>
            <w:r>
              <w:rPr>
                <w:noProof/>
                <w:webHidden/>
              </w:rPr>
            </w:r>
            <w:r>
              <w:rPr>
                <w:noProof/>
                <w:webHidden/>
              </w:rPr>
              <w:fldChar w:fldCharType="separate"/>
            </w:r>
            <w:r>
              <w:rPr>
                <w:noProof/>
                <w:webHidden/>
              </w:rPr>
              <w:t>7</w:t>
            </w:r>
            <w:r>
              <w:rPr>
                <w:noProof/>
                <w:webHidden/>
              </w:rPr>
              <w:fldChar w:fldCharType="end"/>
            </w:r>
          </w:hyperlink>
        </w:p>
        <w:p w14:paraId="0C021AFA" w14:textId="22343472" w:rsidR="00891161" w:rsidRDefault="00891161">
          <w:pPr>
            <w:pStyle w:val="Verzeichnis2"/>
            <w:tabs>
              <w:tab w:val="right" w:leader="dot" w:pos="9514"/>
            </w:tabs>
            <w:rPr>
              <w:rFonts w:eastAsiaTheme="minorEastAsia"/>
              <w:noProof/>
              <w:lang w:val="de-DE" w:eastAsia="de-DE"/>
            </w:rPr>
          </w:pPr>
          <w:hyperlink w:anchor="_Toc32931250" w:history="1">
            <w:r w:rsidRPr="00CC590D">
              <w:rPr>
                <w:rStyle w:val="Hyperlink"/>
                <w:noProof/>
              </w:rPr>
              <w:t>Article 4 Implementation of the common settlement</w:t>
            </w:r>
            <w:r>
              <w:rPr>
                <w:noProof/>
                <w:webHidden/>
              </w:rPr>
              <w:tab/>
            </w:r>
            <w:r>
              <w:rPr>
                <w:noProof/>
                <w:webHidden/>
              </w:rPr>
              <w:fldChar w:fldCharType="begin"/>
            </w:r>
            <w:r>
              <w:rPr>
                <w:noProof/>
                <w:webHidden/>
              </w:rPr>
              <w:instrText xml:space="preserve"> PAGEREF _Toc32931250 \h </w:instrText>
            </w:r>
            <w:r>
              <w:rPr>
                <w:noProof/>
                <w:webHidden/>
              </w:rPr>
            </w:r>
            <w:r>
              <w:rPr>
                <w:noProof/>
                <w:webHidden/>
              </w:rPr>
              <w:fldChar w:fldCharType="separate"/>
            </w:r>
            <w:r>
              <w:rPr>
                <w:noProof/>
                <w:webHidden/>
              </w:rPr>
              <w:t>8</w:t>
            </w:r>
            <w:r>
              <w:rPr>
                <w:noProof/>
                <w:webHidden/>
              </w:rPr>
              <w:fldChar w:fldCharType="end"/>
            </w:r>
          </w:hyperlink>
        </w:p>
        <w:p w14:paraId="47D1AF67" w14:textId="2E663226" w:rsidR="00891161" w:rsidRDefault="00891161">
          <w:pPr>
            <w:pStyle w:val="Verzeichnis2"/>
            <w:tabs>
              <w:tab w:val="right" w:leader="dot" w:pos="9514"/>
            </w:tabs>
            <w:rPr>
              <w:rFonts w:eastAsiaTheme="minorEastAsia"/>
              <w:noProof/>
              <w:lang w:val="de-DE" w:eastAsia="de-DE"/>
            </w:rPr>
          </w:pPr>
          <w:hyperlink w:anchor="_Toc32931251" w:history="1">
            <w:r w:rsidRPr="00CC590D">
              <w:rPr>
                <w:rStyle w:val="Hyperlink"/>
                <w:noProof/>
              </w:rPr>
              <w:t>Article 5 Functions of the common settlement</w:t>
            </w:r>
            <w:r>
              <w:rPr>
                <w:noProof/>
                <w:webHidden/>
              </w:rPr>
              <w:tab/>
            </w:r>
            <w:r>
              <w:rPr>
                <w:noProof/>
                <w:webHidden/>
              </w:rPr>
              <w:fldChar w:fldCharType="begin"/>
            </w:r>
            <w:r>
              <w:rPr>
                <w:noProof/>
                <w:webHidden/>
              </w:rPr>
              <w:instrText xml:space="preserve"> PAGEREF _Toc32931251 \h </w:instrText>
            </w:r>
            <w:r>
              <w:rPr>
                <w:noProof/>
                <w:webHidden/>
              </w:rPr>
            </w:r>
            <w:r>
              <w:rPr>
                <w:noProof/>
                <w:webHidden/>
              </w:rPr>
              <w:fldChar w:fldCharType="separate"/>
            </w:r>
            <w:r>
              <w:rPr>
                <w:noProof/>
                <w:webHidden/>
              </w:rPr>
              <w:t>9</w:t>
            </w:r>
            <w:r>
              <w:rPr>
                <w:noProof/>
                <w:webHidden/>
              </w:rPr>
              <w:fldChar w:fldCharType="end"/>
            </w:r>
          </w:hyperlink>
        </w:p>
        <w:p w14:paraId="5242E04D" w14:textId="085CFCAB" w:rsidR="00891161" w:rsidRDefault="00891161">
          <w:pPr>
            <w:pStyle w:val="Verzeichnis2"/>
            <w:tabs>
              <w:tab w:val="right" w:leader="dot" w:pos="9514"/>
            </w:tabs>
            <w:rPr>
              <w:rFonts w:eastAsiaTheme="minorEastAsia"/>
              <w:noProof/>
              <w:lang w:val="de-DE" w:eastAsia="de-DE"/>
            </w:rPr>
          </w:pPr>
          <w:hyperlink w:anchor="_Toc32931252" w:history="1">
            <w:r w:rsidRPr="00CC590D">
              <w:rPr>
                <w:rStyle w:val="Hyperlink"/>
                <w:noProof/>
              </w:rPr>
              <w:t>Article 6 Settlement period</w:t>
            </w:r>
            <w:r>
              <w:rPr>
                <w:noProof/>
                <w:webHidden/>
              </w:rPr>
              <w:tab/>
            </w:r>
            <w:r>
              <w:rPr>
                <w:noProof/>
                <w:webHidden/>
              </w:rPr>
              <w:fldChar w:fldCharType="begin"/>
            </w:r>
            <w:r>
              <w:rPr>
                <w:noProof/>
                <w:webHidden/>
              </w:rPr>
              <w:instrText xml:space="preserve"> PAGEREF _Toc32931252 \h </w:instrText>
            </w:r>
            <w:r>
              <w:rPr>
                <w:noProof/>
                <w:webHidden/>
              </w:rPr>
            </w:r>
            <w:r>
              <w:rPr>
                <w:noProof/>
                <w:webHidden/>
              </w:rPr>
              <w:fldChar w:fldCharType="separate"/>
            </w:r>
            <w:r>
              <w:rPr>
                <w:noProof/>
                <w:webHidden/>
              </w:rPr>
              <w:t>9</w:t>
            </w:r>
            <w:r>
              <w:rPr>
                <w:noProof/>
                <w:webHidden/>
              </w:rPr>
              <w:fldChar w:fldCharType="end"/>
            </w:r>
          </w:hyperlink>
        </w:p>
        <w:p w14:paraId="6AA3DAAA" w14:textId="0BD68AEA" w:rsidR="00891161" w:rsidRDefault="00891161">
          <w:pPr>
            <w:pStyle w:val="Verzeichnis2"/>
            <w:tabs>
              <w:tab w:val="right" w:leader="dot" w:pos="9514"/>
            </w:tabs>
            <w:rPr>
              <w:rFonts w:eastAsiaTheme="minorEastAsia"/>
              <w:noProof/>
              <w:lang w:val="de-DE" w:eastAsia="de-DE"/>
            </w:rPr>
          </w:pPr>
          <w:hyperlink w:anchor="_Toc32931253" w:history="1">
            <w:r w:rsidRPr="00CC590D">
              <w:rPr>
                <w:rStyle w:val="Hyperlink"/>
                <w:noProof/>
              </w:rPr>
              <w:t>Article 7 Volume determination per TSO-TSO settlement period</w:t>
            </w:r>
            <w:r>
              <w:rPr>
                <w:noProof/>
                <w:webHidden/>
              </w:rPr>
              <w:tab/>
            </w:r>
            <w:r>
              <w:rPr>
                <w:noProof/>
                <w:webHidden/>
              </w:rPr>
              <w:fldChar w:fldCharType="begin"/>
            </w:r>
            <w:r>
              <w:rPr>
                <w:noProof/>
                <w:webHidden/>
              </w:rPr>
              <w:instrText xml:space="preserve"> PAGEREF _Toc32931253 \h </w:instrText>
            </w:r>
            <w:r>
              <w:rPr>
                <w:noProof/>
                <w:webHidden/>
              </w:rPr>
            </w:r>
            <w:r>
              <w:rPr>
                <w:noProof/>
                <w:webHidden/>
              </w:rPr>
              <w:fldChar w:fldCharType="separate"/>
            </w:r>
            <w:r>
              <w:rPr>
                <w:noProof/>
                <w:webHidden/>
              </w:rPr>
              <w:t>9</w:t>
            </w:r>
            <w:r>
              <w:rPr>
                <w:noProof/>
                <w:webHidden/>
              </w:rPr>
              <w:fldChar w:fldCharType="end"/>
            </w:r>
          </w:hyperlink>
        </w:p>
        <w:p w14:paraId="2B088CCB" w14:textId="28F19A43" w:rsidR="00891161" w:rsidRDefault="00891161">
          <w:pPr>
            <w:pStyle w:val="Verzeichnis2"/>
            <w:tabs>
              <w:tab w:val="right" w:leader="dot" w:pos="9514"/>
            </w:tabs>
            <w:rPr>
              <w:rFonts w:eastAsiaTheme="minorEastAsia"/>
              <w:noProof/>
              <w:lang w:val="de-DE" w:eastAsia="de-DE"/>
            </w:rPr>
          </w:pPr>
          <w:hyperlink w:anchor="_Toc32931254" w:history="1">
            <w:r w:rsidRPr="00CC590D">
              <w:rPr>
                <w:rStyle w:val="Hyperlink"/>
                <w:noProof/>
              </w:rPr>
              <w:t>Article 8 Pricing rules for TSO-TSO exchanges within SA CE</w:t>
            </w:r>
            <w:r>
              <w:rPr>
                <w:noProof/>
                <w:webHidden/>
              </w:rPr>
              <w:tab/>
            </w:r>
            <w:r>
              <w:rPr>
                <w:noProof/>
                <w:webHidden/>
              </w:rPr>
              <w:fldChar w:fldCharType="begin"/>
            </w:r>
            <w:r>
              <w:rPr>
                <w:noProof/>
                <w:webHidden/>
              </w:rPr>
              <w:instrText xml:space="preserve"> PAGEREF _Toc32931254 \h </w:instrText>
            </w:r>
            <w:r>
              <w:rPr>
                <w:noProof/>
                <w:webHidden/>
              </w:rPr>
            </w:r>
            <w:r>
              <w:rPr>
                <w:noProof/>
                <w:webHidden/>
              </w:rPr>
              <w:fldChar w:fldCharType="separate"/>
            </w:r>
            <w:r>
              <w:rPr>
                <w:noProof/>
                <w:webHidden/>
              </w:rPr>
              <w:t>10</w:t>
            </w:r>
            <w:r>
              <w:rPr>
                <w:noProof/>
                <w:webHidden/>
              </w:rPr>
              <w:fldChar w:fldCharType="end"/>
            </w:r>
          </w:hyperlink>
        </w:p>
        <w:p w14:paraId="020E03D8" w14:textId="65E77FA1" w:rsidR="00891161" w:rsidRDefault="00891161">
          <w:pPr>
            <w:pStyle w:val="Verzeichnis2"/>
            <w:tabs>
              <w:tab w:val="right" w:leader="dot" w:pos="9514"/>
            </w:tabs>
            <w:rPr>
              <w:rFonts w:eastAsiaTheme="minorEastAsia"/>
              <w:noProof/>
              <w:lang w:val="de-DE" w:eastAsia="de-DE"/>
            </w:rPr>
          </w:pPr>
          <w:hyperlink w:anchor="_Toc32931255" w:history="1">
            <w:r w:rsidRPr="00CC590D">
              <w:rPr>
                <w:rStyle w:val="Hyperlink"/>
                <w:noProof/>
              </w:rPr>
              <w:t>Article 9 Publication and implementation of the CCU</w:t>
            </w:r>
            <w:r>
              <w:rPr>
                <w:noProof/>
                <w:webHidden/>
              </w:rPr>
              <w:tab/>
            </w:r>
            <w:r>
              <w:rPr>
                <w:noProof/>
                <w:webHidden/>
              </w:rPr>
              <w:fldChar w:fldCharType="begin"/>
            </w:r>
            <w:r>
              <w:rPr>
                <w:noProof/>
                <w:webHidden/>
              </w:rPr>
              <w:instrText xml:space="preserve"> PAGEREF _Toc32931255 \h </w:instrText>
            </w:r>
            <w:r>
              <w:rPr>
                <w:noProof/>
                <w:webHidden/>
              </w:rPr>
            </w:r>
            <w:r>
              <w:rPr>
                <w:noProof/>
                <w:webHidden/>
              </w:rPr>
              <w:fldChar w:fldCharType="separate"/>
            </w:r>
            <w:r>
              <w:rPr>
                <w:noProof/>
                <w:webHidden/>
              </w:rPr>
              <w:t>11</w:t>
            </w:r>
            <w:r>
              <w:rPr>
                <w:noProof/>
                <w:webHidden/>
              </w:rPr>
              <w:fldChar w:fldCharType="end"/>
            </w:r>
          </w:hyperlink>
        </w:p>
        <w:p w14:paraId="6EB61C81" w14:textId="79F99C88" w:rsidR="00891161" w:rsidRDefault="00891161">
          <w:pPr>
            <w:pStyle w:val="Verzeichnis2"/>
            <w:tabs>
              <w:tab w:val="right" w:leader="dot" w:pos="9514"/>
            </w:tabs>
            <w:rPr>
              <w:rFonts w:eastAsiaTheme="minorEastAsia"/>
              <w:noProof/>
              <w:lang w:val="de-DE" w:eastAsia="de-DE"/>
            </w:rPr>
          </w:pPr>
          <w:hyperlink w:anchor="_Toc32931256" w:history="1">
            <w:r w:rsidRPr="00CC590D">
              <w:rPr>
                <w:rStyle w:val="Hyperlink"/>
                <w:noProof/>
              </w:rPr>
              <w:t>Article 10 Language</w:t>
            </w:r>
            <w:r>
              <w:rPr>
                <w:noProof/>
                <w:webHidden/>
              </w:rPr>
              <w:tab/>
            </w:r>
            <w:r>
              <w:rPr>
                <w:noProof/>
                <w:webHidden/>
              </w:rPr>
              <w:fldChar w:fldCharType="begin"/>
            </w:r>
            <w:r>
              <w:rPr>
                <w:noProof/>
                <w:webHidden/>
              </w:rPr>
              <w:instrText xml:space="preserve"> PAGEREF _Toc32931256 \h </w:instrText>
            </w:r>
            <w:r>
              <w:rPr>
                <w:noProof/>
                <w:webHidden/>
              </w:rPr>
            </w:r>
            <w:r>
              <w:rPr>
                <w:noProof/>
                <w:webHidden/>
              </w:rPr>
              <w:fldChar w:fldCharType="separate"/>
            </w:r>
            <w:r>
              <w:rPr>
                <w:noProof/>
                <w:webHidden/>
              </w:rPr>
              <w:t>12</w:t>
            </w:r>
            <w:r>
              <w:rPr>
                <w:noProof/>
                <w:webHidden/>
              </w:rPr>
              <w:fldChar w:fldCharType="end"/>
            </w:r>
          </w:hyperlink>
        </w:p>
        <w:p w14:paraId="4BC06203" w14:textId="77777777" w:rsidR="0037308F" w:rsidRPr="00D0537B" w:rsidRDefault="00A934A6">
          <w:r w:rsidRPr="00D0537B">
            <w:rPr>
              <w:b/>
              <w:bCs/>
              <w:noProof/>
            </w:rPr>
            <w:fldChar w:fldCharType="end"/>
          </w:r>
        </w:p>
      </w:sdtContent>
    </w:sdt>
    <w:p w14:paraId="2E7CE642" w14:textId="77777777" w:rsidR="005E1BC2" w:rsidRPr="00D0537B" w:rsidRDefault="005E1BC2" w:rsidP="005E1BC2"/>
    <w:p w14:paraId="089A2B4D" w14:textId="47F04169" w:rsidR="00412B54" w:rsidRPr="00BE5580" w:rsidRDefault="004B6993" w:rsidP="00412B54">
      <w:pPr>
        <w:spacing w:after="120"/>
        <w:jc w:val="both"/>
        <w:rPr>
          <w:b/>
        </w:rPr>
      </w:pPr>
      <w:r w:rsidRPr="00D0537B">
        <w:br w:type="page"/>
      </w:r>
      <w:bookmarkStart w:id="2" w:name="_Toc378091729"/>
      <w:r w:rsidR="0091520A" w:rsidRPr="00296E90">
        <w:rPr>
          <w:b/>
        </w:rPr>
        <w:t>ALL CONTINENTAL EUROPEAN TSOS’, TAKING INTO ACCOUNT THE FOLLOWING</w:t>
      </w:r>
      <w:r w:rsidR="0091520A" w:rsidRPr="00BE5580">
        <w:rPr>
          <w:b/>
        </w:rPr>
        <w:t>:</w:t>
      </w:r>
    </w:p>
    <w:p w14:paraId="304EE1B7" w14:textId="77777777" w:rsidR="0091520A" w:rsidRDefault="0091520A" w:rsidP="00E17CBF">
      <w:pPr>
        <w:pStyle w:val="headline2"/>
      </w:pPr>
      <w:bookmarkStart w:id="3" w:name="_Toc432586767"/>
      <w:bookmarkStart w:id="4" w:name="_Toc432586787"/>
      <w:bookmarkStart w:id="5" w:name="_Toc509993358"/>
      <w:bookmarkStart w:id="6" w:name="_Toc510006478"/>
      <w:bookmarkStart w:id="7" w:name="_Toc510507370"/>
      <w:bookmarkStart w:id="8" w:name="_Toc510522097"/>
    </w:p>
    <w:p w14:paraId="1D7BDABA" w14:textId="397A9FBD" w:rsidR="00412B54" w:rsidRPr="00E17CBF" w:rsidRDefault="00412B54" w:rsidP="00E17CBF">
      <w:pPr>
        <w:pStyle w:val="headline2"/>
      </w:pPr>
      <w:bookmarkStart w:id="9" w:name="_Toc32931245"/>
      <w:r w:rsidRPr="00E17CBF">
        <w:t>Whereas</w:t>
      </w:r>
      <w:bookmarkEnd w:id="3"/>
      <w:bookmarkEnd w:id="4"/>
      <w:bookmarkEnd w:id="5"/>
      <w:bookmarkEnd w:id="6"/>
      <w:bookmarkEnd w:id="7"/>
      <w:bookmarkEnd w:id="8"/>
      <w:bookmarkEnd w:id="9"/>
    </w:p>
    <w:p w14:paraId="4CEABBFF" w14:textId="3DE6ECA6" w:rsidR="000640E2" w:rsidRPr="00414052" w:rsidRDefault="006A737C" w:rsidP="00C771E2">
      <w:pPr>
        <w:pStyle w:val="Listenabsatz"/>
        <w:numPr>
          <w:ilvl w:val="0"/>
          <w:numId w:val="5"/>
        </w:numPr>
        <w:spacing w:after="120"/>
        <w:ind w:left="1080" w:hanging="720"/>
        <w:contextualSpacing w:val="0"/>
        <w:rPr>
          <w:lang w:val="en-GB"/>
        </w:rPr>
      </w:pPr>
      <w:r w:rsidRPr="00992ABA">
        <w:rPr>
          <w:lang w:val="en-GB"/>
        </w:rPr>
        <w:t>This document is a common proposal developed by all Transmission System Operators</w:t>
      </w:r>
      <w:r w:rsidR="005804E5">
        <w:rPr>
          <w:lang w:val="en-GB"/>
        </w:rPr>
        <w:t xml:space="preserve"> in the Synchronous Area Continental Europe</w:t>
      </w:r>
      <w:r w:rsidRPr="00992ABA">
        <w:rPr>
          <w:lang w:val="en-GB"/>
        </w:rPr>
        <w:t xml:space="preserve"> (hereafter referred to as “</w:t>
      </w:r>
      <w:r w:rsidR="00B2491A" w:rsidRPr="00FB117E">
        <w:rPr>
          <w:b/>
          <w:lang w:val="en-GB"/>
        </w:rPr>
        <w:t xml:space="preserve">SA </w:t>
      </w:r>
      <w:r w:rsidR="00ED572B" w:rsidRPr="00BE5580">
        <w:rPr>
          <w:b/>
          <w:lang w:val="en-GB"/>
        </w:rPr>
        <w:t xml:space="preserve">CE </w:t>
      </w:r>
      <w:r w:rsidRPr="00BE5580">
        <w:rPr>
          <w:b/>
          <w:lang w:val="en-GB"/>
        </w:rPr>
        <w:t>TSOs</w:t>
      </w:r>
      <w:r w:rsidRPr="00992ABA">
        <w:rPr>
          <w:lang w:val="en-GB"/>
        </w:rPr>
        <w:t xml:space="preserve">”) regarding the </w:t>
      </w:r>
      <w:r w:rsidR="001C064F" w:rsidRPr="00992ABA">
        <w:rPr>
          <w:lang w:val="en-GB"/>
        </w:rPr>
        <w:t>development</w:t>
      </w:r>
      <w:r w:rsidRPr="00992ABA">
        <w:rPr>
          <w:lang w:val="en-GB"/>
        </w:rPr>
        <w:t xml:space="preserve"> </w:t>
      </w:r>
      <w:r w:rsidR="006F6245">
        <w:rPr>
          <w:lang w:val="en-GB"/>
        </w:rPr>
        <w:t xml:space="preserve">of </w:t>
      </w:r>
      <w:r w:rsidR="00A93461">
        <w:rPr>
          <w:lang w:val="en-GB"/>
        </w:rPr>
        <w:t xml:space="preserve">common settlement rules for </w:t>
      </w:r>
      <w:r w:rsidR="002466EF">
        <w:rPr>
          <w:lang w:val="en-GB"/>
        </w:rPr>
        <w:t xml:space="preserve">all unintended exchanges of energy (hereafter </w:t>
      </w:r>
      <w:r w:rsidR="002466EF" w:rsidRPr="00BE5580">
        <w:rPr>
          <w:lang w:val="en-GB"/>
        </w:rPr>
        <w:t xml:space="preserve">referred to as </w:t>
      </w:r>
      <w:r w:rsidR="00764950" w:rsidRPr="00BE5580">
        <w:rPr>
          <w:lang w:val="en-GB"/>
        </w:rPr>
        <w:t>“</w:t>
      </w:r>
      <w:r w:rsidR="007D3F72" w:rsidRPr="00296E90">
        <w:rPr>
          <w:b/>
          <w:lang w:val="en-GB"/>
        </w:rPr>
        <w:t>unintended exchange</w:t>
      </w:r>
      <w:r w:rsidR="0091520A" w:rsidRPr="00296E90">
        <w:rPr>
          <w:b/>
          <w:lang w:val="en-GB"/>
        </w:rPr>
        <w:t>s</w:t>
      </w:r>
      <w:r w:rsidR="00E17CBF" w:rsidRPr="00BE5580">
        <w:rPr>
          <w:lang w:val="en-GB"/>
        </w:rPr>
        <w:t>”</w:t>
      </w:r>
      <w:r w:rsidR="002466EF" w:rsidRPr="00BE5580">
        <w:rPr>
          <w:lang w:val="en-GB"/>
        </w:rPr>
        <w:t>)</w:t>
      </w:r>
      <w:r w:rsidR="009E13C8" w:rsidRPr="00BE5580">
        <w:rPr>
          <w:lang w:val="en-GB"/>
        </w:rPr>
        <w:t xml:space="preserve"> </w:t>
      </w:r>
      <w:r w:rsidR="00185446" w:rsidRPr="00BE5580">
        <w:rPr>
          <w:lang w:val="en-GB"/>
        </w:rPr>
        <w:t>in accordance with</w:t>
      </w:r>
      <w:r w:rsidR="00185446">
        <w:rPr>
          <w:lang w:val="en-GB"/>
        </w:rPr>
        <w:t xml:space="preserve"> Article </w:t>
      </w:r>
      <w:r w:rsidR="006F6245">
        <w:rPr>
          <w:lang w:val="en-GB"/>
        </w:rPr>
        <w:t>51</w:t>
      </w:r>
      <w:r w:rsidR="002466EF">
        <w:rPr>
          <w:lang w:val="en-GB"/>
        </w:rPr>
        <w:t>(1)</w:t>
      </w:r>
      <w:r w:rsidR="009E13C8">
        <w:rPr>
          <w:lang w:val="en-GB"/>
        </w:rPr>
        <w:t xml:space="preserve"> </w:t>
      </w:r>
      <w:r w:rsidR="00185446">
        <w:rPr>
          <w:lang w:val="en-US"/>
        </w:rPr>
        <w:t xml:space="preserve">of Commission Regulation (EU) </w:t>
      </w:r>
      <w:r w:rsidR="006F6245">
        <w:rPr>
          <w:lang w:val="en-US"/>
        </w:rPr>
        <w:t>2017/2195 of 23 November 2017</w:t>
      </w:r>
      <w:r w:rsidR="00185446">
        <w:rPr>
          <w:lang w:val="en-US"/>
        </w:rPr>
        <w:t xml:space="preserve"> establishing </w:t>
      </w:r>
      <w:r w:rsidR="006F6245">
        <w:rPr>
          <w:lang w:val="en-US"/>
        </w:rPr>
        <w:t xml:space="preserve">a guideline on electricity balancing </w:t>
      </w:r>
      <w:r w:rsidR="00185446">
        <w:rPr>
          <w:lang w:val="en-US"/>
        </w:rPr>
        <w:t>(hereafter referred to as</w:t>
      </w:r>
      <w:r w:rsidR="0091520A">
        <w:rPr>
          <w:lang w:val="en-US"/>
        </w:rPr>
        <w:t xml:space="preserve"> the</w:t>
      </w:r>
      <w:r w:rsidR="00185446">
        <w:rPr>
          <w:lang w:val="en-US"/>
        </w:rPr>
        <w:t xml:space="preserve"> “</w:t>
      </w:r>
      <w:r w:rsidR="007C701F">
        <w:rPr>
          <w:b/>
          <w:lang w:val="en-US"/>
        </w:rPr>
        <w:t>EB Regulation</w:t>
      </w:r>
      <w:r w:rsidR="00185446">
        <w:rPr>
          <w:lang w:val="en-US"/>
        </w:rPr>
        <w:t>”)</w:t>
      </w:r>
      <w:r w:rsidR="00185446" w:rsidRPr="003D16BD">
        <w:rPr>
          <w:lang w:val="en-US"/>
        </w:rPr>
        <w:t>.</w:t>
      </w:r>
      <w:r w:rsidR="00185446">
        <w:rPr>
          <w:lang w:val="en-US"/>
        </w:rPr>
        <w:t xml:space="preserve"> This proposal is </w:t>
      </w:r>
      <w:r w:rsidR="00185446" w:rsidRPr="00D320BB">
        <w:rPr>
          <w:lang w:val="en-US"/>
        </w:rPr>
        <w:t xml:space="preserve">hereafter referred to as </w:t>
      </w:r>
      <w:r w:rsidR="006F6245">
        <w:rPr>
          <w:lang w:val="en-US"/>
        </w:rPr>
        <w:t xml:space="preserve">the </w:t>
      </w:r>
      <w:r w:rsidR="0091520A">
        <w:rPr>
          <w:lang w:val="en-US"/>
        </w:rPr>
        <w:t>“</w:t>
      </w:r>
      <w:r w:rsidR="00457D74" w:rsidRPr="00BE5580">
        <w:rPr>
          <w:b/>
          <w:lang w:val="en-US"/>
        </w:rPr>
        <w:t>CCU</w:t>
      </w:r>
      <w:r w:rsidR="0091520A">
        <w:rPr>
          <w:lang w:val="en-US"/>
        </w:rPr>
        <w:t>”</w:t>
      </w:r>
      <w:r w:rsidR="00872F5F">
        <w:rPr>
          <w:lang w:val="en-US"/>
        </w:rPr>
        <w:t xml:space="preserve">, which stands for </w:t>
      </w:r>
      <w:r w:rsidR="0091520A">
        <w:rPr>
          <w:lang w:val="en-US"/>
        </w:rPr>
        <w:t>‘common s</w:t>
      </w:r>
      <w:r w:rsidR="00872F5F">
        <w:rPr>
          <w:lang w:val="en-US"/>
        </w:rPr>
        <w:t xml:space="preserve">ettlement </w:t>
      </w:r>
      <w:r w:rsidR="0091520A">
        <w:rPr>
          <w:lang w:val="en-US"/>
        </w:rPr>
        <w:t>r</w:t>
      </w:r>
      <w:r w:rsidR="00872F5F">
        <w:rPr>
          <w:lang w:val="en-US"/>
        </w:rPr>
        <w:t xml:space="preserve">ules for </w:t>
      </w:r>
      <w:r w:rsidR="0091520A">
        <w:rPr>
          <w:lang w:val="en-US"/>
        </w:rPr>
        <w:t>c</w:t>
      </w:r>
      <w:r w:rsidR="00872F5F">
        <w:rPr>
          <w:lang w:val="en-US"/>
        </w:rPr>
        <w:t xml:space="preserve">ontinental Europe for </w:t>
      </w:r>
      <w:r w:rsidR="0091520A">
        <w:rPr>
          <w:lang w:val="en-US"/>
        </w:rPr>
        <w:t>all u</w:t>
      </w:r>
      <w:r w:rsidR="00872F5F">
        <w:rPr>
          <w:lang w:val="en-US"/>
        </w:rPr>
        <w:t xml:space="preserve">nintended </w:t>
      </w:r>
      <w:r w:rsidR="0091520A">
        <w:rPr>
          <w:lang w:val="en-US"/>
        </w:rPr>
        <w:t>e</w:t>
      </w:r>
      <w:r w:rsidR="001A1670">
        <w:rPr>
          <w:lang w:val="en-US"/>
        </w:rPr>
        <w:t>xchange</w:t>
      </w:r>
      <w:r w:rsidR="00E17CBF">
        <w:rPr>
          <w:lang w:val="en-US"/>
        </w:rPr>
        <w:t>s</w:t>
      </w:r>
      <w:r w:rsidR="0091520A">
        <w:rPr>
          <w:lang w:val="en-US"/>
        </w:rPr>
        <w:t xml:space="preserve"> of energy’</w:t>
      </w:r>
      <w:r w:rsidR="002466EF">
        <w:rPr>
          <w:lang w:val="en-US"/>
        </w:rPr>
        <w:t xml:space="preserve">. </w:t>
      </w:r>
    </w:p>
    <w:p w14:paraId="533B3218" w14:textId="511E3834" w:rsidR="00926D40" w:rsidRPr="00A67448" w:rsidRDefault="00926D40" w:rsidP="00C771E2">
      <w:pPr>
        <w:pStyle w:val="Listenabsatz"/>
        <w:numPr>
          <w:ilvl w:val="0"/>
          <w:numId w:val="5"/>
        </w:numPr>
        <w:spacing w:after="120"/>
        <w:ind w:left="1080" w:hanging="720"/>
        <w:contextualSpacing w:val="0"/>
        <w:rPr>
          <w:lang w:val="en-GB"/>
        </w:rPr>
      </w:pPr>
      <w:r w:rsidRPr="006F6245">
        <w:rPr>
          <w:lang w:val="en-GB"/>
        </w:rPr>
        <w:t>Th</w:t>
      </w:r>
      <w:r w:rsidR="0091520A">
        <w:rPr>
          <w:lang w:val="en-GB"/>
        </w:rPr>
        <w:t>is</w:t>
      </w:r>
      <w:r w:rsidR="00185446" w:rsidRPr="006F6245">
        <w:rPr>
          <w:lang w:val="en-GB"/>
        </w:rPr>
        <w:t xml:space="preserve"> </w:t>
      </w:r>
      <w:r w:rsidR="00920A67">
        <w:rPr>
          <w:lang w:val="en-GB"/>
        </w:rPr>
        <w:t>CCU</w:t>
      </w:r>
      <w:r w:rsidR="00B7346A" w:rsidRPr="00AA3E52">
        <w:rPr>
          <w:lang w:val="en-GB"/>
        </w:rPr>
        <w:t xml:space="preserve"> </w:t>
      </w:r>
      <w:r w:rsidRPr="006F6245">
        <w:rPr>
          <w:lang w:val="en-GB"/>
        </w:rPr>
        <w:t xml:space="preserve">takes into account the general principles and goals set in the </w:t>
      </w:r>
      <w:r w:rsidR="007C701F">
        <w:rPr>
          <w:lang w:val="en-GB"/>
        </w:rPr>
        <w:t>EB Regulation</w:t>
      </w:r>
      <w:r w:rsidR="00920A67" w:rsidRPr="006F6245">
        <w:rPr>
          <w:lang w:val="en-GB"/>
        </w:rPr>
        <w:t xml:space="preserve"> </w:t>
      </w:r>
      <w:r w:rsidRPr="006F6245">
        <w:rPr>
          <w:lang w:val="en-GB"/>
        </w:rPr>
        <w:t xml:space="preserve">as well as </w:t>
      </w:r>
      <w:r w:rsidR="006E1F48" w:rsidRPr="006F6245">
        <w:rPr>
          <w:lang w:val="en-GB"/>
        </w:rPr>
        <w:t>Regulation (EC) No 714/2009 of the European Parl</w:t>
      </w:r>
      <w:r w:rsidR="004B6E29">
        <w:rPr>
          <w:lang w:val="en-GB"/>
        </w:rPr>
        <w:t>iament and of the Council of 13</w:t>
      </w:r>
      <w:r w:rsidR="006E1F48" w:rsidRPr="006F6245">
        <w:rPr>
          <w:lang w:val="en-GB"/>
        </w:rPr>
        <w:t xml:space="preserve"> July 2009 on </w:t>
      </w:r>
      <w:r w:rsidR="00FC6F23" w:rsidRPr="006F6245">
        <w:rPr>
          <w:lang w:val="en-GB"/>
        </w:rPr>
        <w:t xml:space="preserve">conditions for access to the network for cross-border exchanges in electricity </w:t>
      </w:r>
      <w:r w:rsidR="006E1F48" w:rsidRPr="006F6245">
        <w:rPr>
          <w:lang w:val="en-GB"/>
        </w:rPr>
        <w:t xml:space="preserve">(hereafter referred to as </w:t>
      </w:r>
      <w:r w:rsidR="0091520A">
        <w:rPr>
          <w:lang w:val="en-GB"/>
        </w:rPr>
        <w:t xml:space="preserve">the </w:t>
      </w:r>
      <w:r w:rsidR="006E1F48" w:rsidRPr="006F6245">
        <w:rPr>
          <w:lang w:val="en-GB"/>
        </w:rPr>
        <w:t>“</w:t>
      </w:r>
      <w:r w:rsidR="005C5A10" w:rsidRPr="00BE5580">
        <w:rPr>
          <w:b/>
          <w:lang w:val="en-GB"/>
        </w:rPr>
        <w:t>Electricity Regulation</w:t>
      </w:r>
      <w:r w:rsidR="006E1F48" w:rsidRPr="006F6245">
        <w:rPr>
          <w:lang w:val="en-GB"/>
        </w:rPr>
        <w:t>”)</w:t>
      </w:r>
      <w:r w:rsidR="00AA3E52">
        <w:rPr>
          <w:lang w:val="en-GB"/>
        </w:rPr>
        <w:t xml:space="preserve"> as well as Regulation (EC) No </w:t>
      </w:r>
      <w:r w:rsidR="00920A67">
        <w:rPr>
          <w:lang w:val="en-GB"/>
        </w:rPr>
        <w:t>2017/1485</w:t>
      </w:r>
      <w:r w:rsidR="00AA3E52">
        <w:rPr>
          <w:lang w:val="en-GB"/>
        </w:rPr>
        <w:t xml:space="preserve"> of </w:t>
      </w:r>
      <w:r w:rsidR="00920A67">
        <w:rPr>
          <w:lang w:val="en-GB"/>
        </w:rPr>
        <w:t>2 August 2017</w:t>
      </w:r>
      <w:r w:rsidR="00AA3E52">
        <w:rPr>
          <w:lang w:val="en-GB"/>
        </w:rPr>
        <w:t xml:space="preserve"> </w:t>
      </w:r>
      <w:r w:rsidR="00AA3E52" w:rsidRPr="00AA3E52">
        <w:rPr>
          <w:lang w:val="en-GB"/>
        </w:rPr>
        <w:t>establishing a guideline on electricity transmission system operation</w:t>
      </w:r>
      <w:r w:rsidR="00E464C8">
        <w:rPr>
          <w:lang w:val="en-GB"/>
        </w:rPr>
        <w:t xml:space="preserve"> (hereafter referred to as </w:t>
      </w:r>
      <w:r w:rsidR="0091520A">
        <w:rPr>
          <w:lang w:val="en-GB"/>
        </w:rPr>
        <w:t xml:space="preserve">the </w:t>
      </w:r>
      <w:r w:rsidR="00E464C8">
        <w:rPr>
          <w:lang w:val="en-GB"/>
        </w:rPr>
        <w:t>“</w:t>
      </w:r>
      <w:r w:rsidR="007C701F">
        <w:rPr>
          <w:b/>
          <w:lang w:val="en-GB"/>
        </w:rPr>
        <w:t>SO Regulation</w:t>
      </w:r>
      <w:r w:rsidR="00E464C8">
        <w:rPr>
          <w:lang w:val="en-GB"/>
        </w:rPr>
        <w:t>”)</w:t>
      </w:r>
      <w:r w:rsidRPr="006F6245">
        <w:rPr>
          <w:lang w:val="en-GB"/>
        </w:rPr>
        <w:t xml:space="preserve">. </w:t>
      </w:r>
      <w:r w:rsidR="006F6245" w:rsidRPr="006F6245">
        <w:rPr>
          <w:lang w:val="en-GB"/>
        </w:rPr>
        <w:t xml:space="preserve">The goal of the </w:t>
      </w:r>
      <w:r w:rsidR="007C701F">
        <w:rPr>
          <w:lang w:val="en-GB"/>
        </w:rPr>
        <w:t>EB Regulation</w:t>
      </w:r>
      <w:r w:rsidR="00920A67" w:rsidRPr="006F6245">
        <w:rPr>
          <w:lang w:val="en-GB"/>
        </w:rPr>
        <w:t xml:space="preserve"> </w:t>
      </w:r>
      <w:r w:rsidR="006F6245" w:rsidRPr="006F6245">
        <w:rPr>
          <w:lang w:val="en-GB"/>
        </w:rPr>
        <w:t>is the integration of balancing energy markets. The integration of balancing energy markets should be facilitated with the establishment of common European platforms for operating the imbalance netting process and enabling the exchange of balancing energy from frequency restoration reserves and replacement reserves. Cooperation between TSOs should be strictly limited to what is necessary for the efficient and secure design, implementation and operation of those European platforms.</w:t>
      </w:r>
    </w:p>
    <w:p w14:paraId="716D8A93" w14:textId="0F5F0C3E" w:rsidR="008108D3" w:rsidRPr="00D558FB" w:rsidRDefault="00D558FB" w:rsidP="00C771E2">
      <w:pPr>
        <w:pStyle w:val="Listenabsatz"/>
        <w:numPr>
          <w:ilvl w:val="0"/>
          <w:numId w:val="5"/>
        </w:numPr>
        <w:spacing w:after="120"/>
        <w:ind w:left="1080" w:hanging="720"/>
        <w:contextualSpacing w:val="0"/>
        <w:rPr>
          <w:lang w:val="en-GB"/>
        </w:rPr>
      </w:pPr>
      <w:r w:rsidRPr="00D558FB">
        <w:rPr>
          <w:lang w:val="en-GB"/>
        </w:rPr>
        <w:t xml:space="preserve">Articles 51(1), 51(3) and </w:t>
      </w:r>
      <w:r w:rsidRPr="00F55C90">
        <w:rPr>
          <w:lang w:val="en-GB"/>
        </w:rPr>
        <w:t xml:space="preserve">51(4) of </w:t>
      </w:r>
      <w:r w:rsidRPr="00BE5580">
        <w:rPr>
          <w:lang w:val="en-GB"/>
        </w:rPr>
        <w:t xml:space="preserve">the </w:t>
      </w:r>
      <w:r w:rsidR="007C701F">
        <w:rPr>
          <w:lang w:val="en-GB"/>
        </w:rPr>
        <w:t>EB Regulation</w:t>
      </w:r>
      <w:r w:rsidRPr="00BE5580">
        <w:rPr>
          <w:lang w:val="en-GB"/>
        </w:rPr>
        <w:t xml:space="preserve"> define the deadline for the submission of the CCU to </w:t>
      </w:r>
      <w:r w:rsidR="0097541A" w:rsidRPr="00BE5580">
        <w:rPr>
          <w:lang w:val="en-GB"/>
        </w:rPr>
        <w:t xml:space="preserve">the </w:t>
      </w:r>
      <w:r w:rsidR="0097541A" w:rsidRPr="00296E90">
        <w:rPr>
          <w:lang w:val="en-GB"/>
        </w:rPr>
        <w:t>relevant regulatory authorities</w:t>
      </w:r>
      <w:r w:rsidRPr="00BE5580">
        <w:rPr>
          <w:lang w:val="en-GB"/>
        </w:rPr>
        <w:t xml:space="preserve"> and several</w:t>
      </w:r>
      <w:r w:rsidRPr="00F55C90">
        <w:rPr>
          <w:lang w:val="en-GB"/>
        </w:rPr>
        <w:t xml:space="preserve"> specific requirements to its content: </w:t>
      </w:r>
    </w:p>
    <w:p w14:paraId="3F96DF1E" w14:textId="77777777" w:rsidR="002A533C" w:rsidRPr="00C771E2" w:rsidRDefault="002A533C" w:rsidP="00C771E2">
      <w:pPr>
        <w:pStyle w:val="Listenabsatz"/>
        <w:spacing w:after="120"/>
        <w:ind w:left="1440"/>
        <w:contextualSpacing w:val="0"/>
        <w:rPr>
          <w:i/>
          <w:lang w:val="en-GB"/>
        </w:rPr>
      </w:pPr>
      <w:r w:rsidRPr="00C771E2">
        <w:rPr>
          <w:i/>
          <w:lang w:val="en-GB"/>
        </w:rPr>
        <w:t>1. By eighteen months after the entry into force of this Regulation, all TSOs of a synchronous area shall develop a proposal for common settlement rules applicable to all unintended exchanges of energy. The proposal shall include the following requirements:</w:t>
      </w:r>
    </w:p>
    <w:p w14:paraId="19FA4796" w14:textId="77777777" w:rsidR="002A533C" w:rsidRPr="00C771E2" w:rsidRDefault="002A533C" w:rsidP="00C771E2">
      <w:pPr>
        <w:pStyle w:val="Listenabsatz"/>
        <w:spacing w:after="120"/>
        <w:ind w:left="2124"/>
        <w:contextualSpacing w:val="0"/>
        <w:rPr>
          <w:i/>
          <w:lang w:val="en-GB"/>
        </w:rPr>
      </w:pPr>
      <w:r w:rsidRPr="00C771E2">
        <w:rPr>
          <w:i/>
          <w:lang w:val="en-GB"/>
        </w:rPr>
        <w:t>(a) the price for unintended exchanges of energy withdrawn from the synchronous area shall reflect the prices for activated upward balancing energy for frequency restoration process or reserve replacement process for this synchronous area;</w:t>
      </w:r>
    </w:p>
    <w:p w14:paraId="3198F61F" w14:textId="77777777" w:rsidR="002A533C" w:rsidRPr="00C771E2" w:rsidRDefault="002A533C" w:rsidP="00C771E2">
      <w:pPr>
        <w:pStyle w:val="Listenabsatz"/>
        <w:spacing w:after="120"/>
        <w:ind w:left="2124"/>
        <w:contextualSpacing w:val="0"/>
        <w:rPr>
          <w:i/>
          <w:lang w:val="en-US"/>
        </w:rPr>
      </w:pPr>
      <w:r w:rsidRPr="00C771E2">
        <w:rPr>
          <w:i/>
          <w:lang w:val="en-US"/>
        </w:rPr>
        <w:t>(b) the price for unintended exchanges of energy injected into the synchronous area shall reflect the prices for activated downward balancing energy for frequency restoration process or reserve replacement process for this synchronous area.</w:t>
      </w:r>
    </w:p>
    <w:p w14:paraId="5426D8AE" w14:textId="77777777" w:rsidR="002A533C" w:rsidRPr="00C771E2" w:rsidRDefault="002A533C" w:rsidP="00C771E2">
      <w:pPr>
        <w:pStyle w:val="Listenabsatz"/>
        <w:spacing w:after="120"/>
        <w:ind w:left="1416"/>
        <w:contextualSpacing w:val="0"/>
        <w:rPr>
          <w:i/>
          <w:lang w:val="en-US"/>
        </w:rPr>
      </w:pPr>
      <w:r w:rsidRPr="00C771E2">
        <w:rPr>
          <w:i/>
          <w:lang w:val="en-US"/>
        </w:rPr>
        <w:t>3. The proposals of common settlement rules of unintended exchanges of energy between TSOs shall ensure a fair and equal distribution of costs and benefits between them.</w:t>
      </w:r>
    </w:p>
    <w:p w14:paraId="27BFF0BE" w14:textId="4F90597F" w:rsidR="002A533C" w:rsidRPr="00A67448" w:rsidRDefault="002A533C" w:rsidP="00C771E2">
      <w:pPr>
        <w:pStyle w:val="Listenabsatz"/>
        <w:spacing w:after="120"/>
        <w:ind w:left="1416"/>
        <w:contextualSpacing w:val="0"/>
        <w:rPr>
          <w:lang w:val="en-GB"/>
        </w:rPr>
      </w:pPr>
      <w:r w:rsidRPr="00C771E2">
        <w:rPr>
          <w:i/>
          <w:lang w:val="en-US"/>
        </w:rPr>
        <w:t>4. All TSOs shall establish a coordinated mechanism for adjustments to settlements between them</w:t>
      </w:r>
      <w:r w:rsidR="00414052">
        <w:rPr>
          <w:i/>
          <w:lang w:val="en-US"/>
        </w:rPr>
        <w:t>.</w:t>
      </w:r>
    </w:p>
    <w:p w14:paraId="01D05299" w14:textId="6973AA10" w:rsidR="00724920" w:rsidRPr="00296E90" w:rsidRDefault="00724920" w:rsidP="00C771E2">
      <w:pPr>
        <w:pStyle w:val="Listenabsatz"/>
        <w:numPr>
          <w:ilvl w:val="0"/>
          <w:numId w:val="5"/>
        </w:numPr>
        <w:spacing w:after="120"/>
        <w:ind w:left="1080" w:hanging="720"/>
        <w:contextualSpacing w:val="0"/>
        <w:rPr>
          <w:lang w:val="en-GB"/>
        </w:rPr>
      </w:pPr>
      <w:bookmarkStart w:id="10" w:name="_Ref436817306"/>
      <w:r w:rsidRPr="00724920">
        <w:rPr>
          <w:lang w:val="en-GB"/>
        </w:rPr>
        <w:t xml:space="preserve">The </w:t>
      </w:r>
      <w:r w:rsidR="00920A67">
        <w:rPr>
          <w:lang w:val="en-US"/>
        </w:rPr>
        <w:t>CCU</w:t>
      </w:r>
      <w:r w:rsidR="00B7346A">
        <w:rPr>
          <w:lang w:val="en-US"/>
        </w:rPr>
        <w:t xml:space="preserve"> </w:t>
      </w:r>
      <w:r w:rsidRPr="00724920">
        <w:rPr>
          <w:lang w:val="en-GB"/>
        </w:rPr>
        <w:t xml:space="preserve">contributes to the objective of non-discrimination and transparency in balancing markets pursuant to </w:t>
      </w:r>
      <w:r w:rsidRPr="00BE5580">
        <w:rPr>
          <w:lang w:val="en-GB"/>
        </w:rPr>
        <w:t>Article</w:t>
      </w:r>
      <w:r w:rsidR="008D46CB">
        <w:rPr>
          <w:lang w:val="en-GB"/>
        </w:rPr>
        <w:t>s</w:t>
      </w:r>
      <w:r w:rsidRPr="00BE5580">
        <w:rPr>
          <w:lang w:val="en-GB"/>
        </w:rPr>
        <w:t xml:space="preserve"> </w:t>
      </w:r>
      <w:r w:rsidR="00A568C7" w:rsidRPr="00BE5580">
        <w:rPr>
          <w:lang w:val="en-GB"/>
        </w:rPr>
        <w:t>3</w:t>
      </w:r>
      <w:r w:rsidRPr="00BE5580">
        <w:rPr>
          <w:lang w:val="en-GB"/>
        </w:rPr>
        <w:t>(1)(a)</w:t>
      </w:r>
      <w:r w:rsidR="008D46CB">
        <w:rPr>
          <w:lang w:val="en-GB"/>
        </w:rPr>
        <w:t>,</w:t>
      </w:r>
      <w:r w:rsidR="00A568C7" w:rsidRPr="00296E90">
        <w:rPr>
          <w:lang w:val="en-GB"/>
        </w:rPr>
        <w:t xml:space="preserve"> </w:t>
      </w:r>
      <w:r w:rsidR="00F547CB" w:rsidRPr="00296E90">
        <w:rPr>
          <w:lang w:val="en-GB"/>
        </w:rPr>
        <w:t xml:space="preserve">3(2)(a) and 3(2)(b) </w:t>
      </w:r>
      <w:r w:rsidRPr="00296E90">
        <w:rPr>
          <w:lang w:val="en-GB"/>
        </w:rPr>
        <w:t xml:space="preserve">of the </w:t>
      </w:r>
      <w:r w:rsidR="007C701F">
        <w:rPr>
          <w:lang w:val="en-GB"/>
        </w:rPr>
        <w:t>EB Regulation</w:t>
      </w:r>
      <w:r w:rsidRPr="00296E90">
        <w:rPr>
          <w:lang w:val="en-GB"/>
        </w:rPr>
        <w:t>, since the same settlement rule</w:t>
      </w:r>
      <w:r w:rsidR="00F80601" w:rsidRPr="00296E90">
        <w:rPr>
          <w:lang w:val="en-GB"/>
        </w:rPr>
        <w:t>s</w:t>
      </w:r>
      <w:r w:rsidRPr="00296E90">
        <w:rPr>
          <w:lang w:val="en-GB"/>
        </w:rPr>
        <w:t xml:space="preserve"> will apply to </w:t>
      </w:r>
      <w:r w:rsidR="00FB417D" w:rsidRPr="00296E90">
        <w:rPr>
          <w:lang w:val="en-GB"/>
        </w:rPr>
        <w:t>the whole</w:t>
      </w:r>
      <w:r w:rsidR="00FB417D" w:rsidRPr="00BE5580">
        <w:rPr>
          <w:lang w:val="en-GB"/>
        </w:rPr>
        <w:t xml:space="preserve"> </w:t>
      </w:r>
      <w:r w:rsidR="00F80601" w:rsidRPr="00BE5580">
        <w:rPr>
          <w:lang w:val="en-GB"/>
        </w:rPr>
        <w:t>Synchronous Area Continental Europe</w:t>
      </w:r>
      <w:r w:rsidR="00594FCD" w:rsidRPr="00BE5580">
        <w:rPr>
          <w:lang w:val="en-GB"/>
        </w:rPr>
        <w:t xml:space="preserve"> and they will be public</w:t>
      </w:r>
      <w:r w:rsidR="00594FCD" w:rsidRPr="00296E90">
        <w:rPr>
          <w:lang w:val="en-GB"/>
        </w:rPr>
        <w:t>ly available</w:t>
      </w:r>
      <w:r w:rsidRPr="00296E90">
        <w:rPr>
          <w:lang w:val="en-GB"/>
        </w:rPr>
        <w:t xml:space="preserve">. </w:t>
      </w:r>
    </w:p>
    <w:p w14:paraId="5B085759" w14:textId="15501D3A" w:rsidR="00431817" w:rsidRPr="00296E90" w:rsidRDefault="00724920" w:rsidP="00C771E2">
      <w:pPr>
        <w:pStyle w:val="Listenabsatz"/>
        <w:numPr>
          <w:ilvl w:val="0"/>
          <w:numId w:val="5"/>
        </w:numPr>
        <w:spacing w:after="120"/>
        <w:ind w:left="1080" w:hanging="720"/>
        <w:contextualSpacing w:val="0"/>
        <w:rPr>
          <w:lang w:val="en-GB"/>
        </w:rPr>
      </w:pPr>
      <w:r w:rsidRPr="00296E90">
        <w:rPr>
          <w:lang w:val="en-GB"/>
        </w:rPr>
        <w:t xml:space="preserve">The </w:t>
      </w:r>
      <w:r w:rsidR="00920A67" w:rsidRPr="00296E90">
        <w:rPr>
          <w:lang w:val="en-US"/>
        </w:rPr>
        <w:t>CCU</w:t>
      </w:r>
      <w:r w:rsidR="00B7346A" w:rsidRPr="00296E90">
        <w:rPr>
          <w:lang w:val="en-US"/>
        </w:rPr>
        <w:t xml:space="preserve"> </w:t>
      </w:r>
      <w:r w:rsidRPr="00296E90">
        <w:rPr>
          <w:lang w:val="en-GB"/>
        </w:rPr>
        <w:t xml:space="preserve">contributes to the objective of enhancing </w:t>
      </w:r>
      <w:r w:rsidR="001B68DB" w:rsidRPr="00296E90">
        <w:rPr>
          <w:lang w:val="en-GB"/>
        </w:rPr>
        <w:t xml:space="preserve">the </w:t>
      </w:r>
      <w:r w:rsidRPr="00296E90">
        <w:rPr>
          <w:lang w:val="en-GB"/>
        </w:rPr>
        <w:t>efficiency of Europe</w:t>
      </w:r>
      <w:r w:rsidR="001B68DB" w:rsidRPr="00296E90">
        <w:rPr>
          <w:lang w:val="en-GB"/>
        </w:rPr>
        <w:t>an</w:t>
      </w:r>
      <w:r w:rsidRPr="00296E90">
        <w:rPr>
          <w:lang w:val="en-GB"/>
        </w:rPr>
        <w:t xml:space="preserve"> and national balancing markets</w:t>
      </w:r>
      <w:r w:rsidR="00A568C7" w:rsidRPr="00296E90">
        <w:rPr>
          <w:lang w:val="en-GB"/>
        </w:rPr>
        <w:t xml:space="preserve">, pursuant to Article 3(1)(b) of the </w:t>
      </w:r>
      <w:r w:rsidR="007C701F">
        <w:rPr>
          <w:lang w:val="en-GB"/>
        </w:rPr>
        <w:t>EB Regulation</w:t>
      </w:r>
      <w:r w:rsidRPr="00296E90">
        <w:rPr>
          <w:lang w:val="en-GB"/>
        </w:rPr>
        <w:t>, since the compensation program</w:t>
      </w:r>
      <w:r w:rsidR="007550D8" w:rsidRPr="00296E90">
        <w:rPr>
          <w:lang w:val="en-GB"/>
        </w:rPr>
        <w:t>me</w:t>
      </w:r>
      <w:r w:rsidRPr="00296E90">
        <w:rPr>
          <w:lang w:val="en-GB"/>
        </w:rPr>
        <w:t xml:space="preserve"> is replaced by the </w:t>
      </w:r>
      <w:r w:rsidR="001B68DB" w:rsidRPr="00296E90">
        <w:rPr>
          <w:lang w:val="en-GB"/>
        </w:rPr>
        <w:t xml:space="preserve">common </w:t>
      </w:r>
      <w:r w:rsidRPr="00296E90">
        <w:rPr>
          <w:lang w:val="en-GB"/>
        </w:rPr>
        <w:t>settlement rules</w:t>
      </w:r>
      <w:r w:rsidR="001B68DB" w:rsidRPr="00296E90">
        <w:rPr>
          <w:lang w:val="en-GB"/>
        </w:rPr>
        <w:t xml:space="preserve"> applicable to </w:t>
      </w:r>
      <w:r w:rsidR="00467793" w:rsidRPr="00296E90">
        <w:rPr>
          <w:lang w:val="en-GB"/>
        </w:rPr>
        <w:t>the whole</w:t>
      </w:r>
      <w:r w:rsidR="00467793" w:rsidRPr="00BE5580">
        <w:rPr>
          <w:lang w:val="en-GB"/>
        </w:rPr>
        <w:t xml:space="preserve"> </w:t>
      </w:r>
      <w:bookmarkStart w:id="11" w:name="_Hlk7462267"/>
      <w:r w:rsidR="005804E5" w:rsidRPr="00BE5580">
        <w:rPr>
          <w:lang w:val="en-GB"/>
        </w:rPr>
        <w:t>Synchronous Area C</w:t>
      </w:r>
      <w:r w:rsidR="001B68DB" w:rsidRPr="00296E90">
        <w:rPr>
          <w:lang w:val="en-GB"/>
        </w:rPr>
        <w:t>ontinental Europe</w:t>
      </w:r>
      <w:bookmarkEnd w:id="11"/>
      <w:r w:rsidR="00414052" w:rsidRPr="00296E90">
        <w:rPr>
          <w:lang w:val="en-GB"/>
        </w:rPr>
        <w:t>.</w:t>
      </w:r>
    </w:p>
    <w:p w14:paraId="50680822" w14:textId="3D7E05C0" w:rsidR="002507BE" w:rsidRPr="002507BE" w:rsidRDefault="00A568C7" w:rsidP="002507BE">
      <w:pPr>
        <w:pStyle w:val="Listenabsatz"/>
        <w:numPr>
          <w:ilvl w:val="0"/>
          <w:numId w:val="5"/>
        </w:numPr>
        <w:spacing w:after="120"/>
        <w:ind w:left="1080" w:hanging="720"/>
        <w:contextualSpacing w:val="0"/>
        <w:rPr>
          <w:lang w:val="en-GB"/>
        </w:rPr>
      </w:pPr>
      <w:r w:rsidRPr="004809E0">
        <w:rPr>
          <w:lang w:val="en-US"/>
        </w:rPr>
        <w:t xml:space="preserve">The </w:t>
      </w:r>
      <w:r w:rsidR="00872F5F">
        <w:rPr>
          <w:lang w:val="en-US"/>
        </w:rPr>
        <w:t>CCU</w:t>
      </w:r>
      <w:r w:rsidR="00B7346A">
        <w:rPr>
          <w:lang w:val="en-US"/>
        </w:rPr>
        <w:t xml:space="preserve"> </w:t>
      </w:r>
      <w:r w:rsidRPr="00BE5580">
        <w:rPr>
          <w:lang w:val="en-US"/>
        </w:rPr>
        <w:t xml:space="preserve">serves the requirement of Article 3(2)(h) </w:t>
      </w:r>
      <w:r w:rsidR="00872F5F" w:rsidRPr="00BE5580">
        <w:rPr>
          <w:lang w:val="en-US"/>
        </w:rPr>
        <w:t xml:space="preserve">of the </w:t>
      </w:r>
      <w:r w:rsidR="007C701F">
        <w:rPr>
          <w:lang w:val="en-US"/>
        </w:rPr>
        <w:t>EB Regulation</w:t>
      </w:r>
      <w:r w:rsidR="00872F5F" w:rsidRPr="00BE5580">
        <w:rPr>
          <w:lang w:val="en-US"/>
        </w:rPr>
        <w:t xml:space="preserve"> </w:t>
      </w:r>
      <w:r w:rsidRPr="00296E90">
        <w:rPr>
          <w:lang w:val="en-US"/>
        </w:rPr>
        <w:t xml:space="preserve">since the technical framework proposed is based on </w:t>
      </w:r>
      <w:r w:rsidR="000C7E3E">
        <w:rPr>
          <w:lang w:val="en-US"/>
        </w:rPr>
        <w:t xml:space="preserve">agreed European standards </w:t>
      </w:r>
      <w:r w:rsidRPr="00296E90">
        <w:rPr>
          <w:lang w:val="en-US"/>
        </w:rPr>
        <w:t>already in operation.</w:t>
      </w:r>
    </w:p>
    <w:p w14:paraId="07E84103" w14:textId="73264E2D" w:rsidR="00756F15" w:rsidRPr="002507BE" w:rsidRDefault="00756F15" w:rsidP="002507BE">
      <w:pPr>
        <w:pStyle w:val="Listenabsatz"/>
        <w:numPr>
          <w:ilvl w:val="0"/>
          <w:numId w:val="5"/>
        </w:numPr>
        <w:spacing w:after="120"/>
        <w:ind w:left="1080" w:hanging="720"/>
        <w:contextualSpacing w:val="0"/>
        <w:rPr>
          <w:lang w:val="en-GB"/>
        </w:rPr>
      </w:pPr>
      <w:r w:rsidRPr="002507BE">
        <w:rPr>
          <w:lang w:val="en-US"/>
        </w:rPr>
        <w:t>The CCU was developed taking into account the consistency with settlement rules of intended exchange</w:t>
      </w:r>
      <w:r w:rsidR="00B632DF" w:rsidRPr="002507BE">
        <w:rPr>
          <w:lang w:val="en-US"/>
        </w:rPr>
        <w:t>s of energy</w:t>
      </w:r>
      <w:r w:rsidRPr="002507BE">
        <w:rPr>
          <w:lang w:val="en-US"/>
        </w:rPr>
        <w:t xml:space="preserve"> </w:t>
      </w:r>
      <w:r w:rsidR="002507BE" w:rsidRPr="002507BE">
        <w:rPr>
          <w:lang w:val="en-US"/>
        </w:rPr>
        <w:t xml:space="preserve">as a result of the frequency containment process and ramping period </w:t>
      </w:r>
      <w:r w:rsidRPr="002507BE">
        <w:rPr>
          <w:lang w:val="en-US"/>
        </w:rPr>
        <w:t>within</w:t>
      </w:r>
      <w:r w:rsidR="00B632DF" w:rsidRPr="002507BE">
        <w:rPr>
          <w:lang w:val="en-US"/>
        </w:rPr>
        <w:t xml:space="preserve"> the</w:t>
      </w:r>
      <w:r w:rsidRPr="002507BE">
        <w:rPr>
          <w:lang w:val="en-US"/>
        </w:rPr>
        <w:t xml:space="preserve"> </w:t>
      </w:r>
      <w:r w:rsidR="00B632DF" w:rsidRPr="002507BE">
        <w:rPr>
          <w:lang w:val="en-GB"/>
        </w:rPr>
        <w:t>Synchronous Area Continental Europe</w:t>
      </w:r>
      <w:r w:rsidR="00B632DF" w:rsidRPr="002507BE">
        <w:rPr>
          <w:lang w:val="en-US"/>
        </w:rPr>
        <w:t xml:space="preserve"> </w:t>
      </w:r>
      <w:r w:rsidRPr="002507BE">
        <w:rPr>
          <w:lang w:val="en-US"/>
        </w:rPr>
        <w:t xml:space="preserve">in accordance with Article 50(3) of the </w:t>
      </w:r>
      <w:r w:rsidR="007C701F">
        <w:rPr>
          <w:lang w:val="en-US"/>
        </w:rPr>
        <w:t>EB Regulation</w:t>
      </w:r>
      <w:r w:rsidRPr="002507BE">
        <w:rPr>
          <w:lang w:val="en-US"/>
        </w:rPr>
        <w:t>.</w:t>
      </w:r>
      <w:r w:rsidR="00027D30" w:rsidRPr="00027D30">
        <w:rPr>
          <w:lang w:val="en-GB"/>
        </w:rPr>
        <w:t xml:space="preserve"> </w:t>
      </w:r>
      <w:r w:rsidR="00027D30">
        <w:rPr>
          <w:lang w:val="en-GB"/>
        </w:rPr>
        <w:t>Due to the strong interdependency of the common settlement rules of intended exchanges as a result of the frequency containment process and the ramping periods (in th</w:t>
      </w:r>
      <w:r w:rsidR="008D46CB">
        <w:rPr>
          <w:lang w:val="en-GB"/>
        </w:rPr>
        <w:t>e</w:t>
      </w:r>
      <w:r w:rsidR="00027D30">
        <w:rPr>
          <w:lang w:val="en-GB"/>
        </w:rPr>
        <w:t xml:space="preserve"> CCFR) and the unintended exchanges (in th</w:t>
      </w:r>
      <w:r w:rsidR="008D46CB">
        <w:rPr>
          <w:lang w:val="en-GB"/>
        </w:rPr>
        <w:t>is</w:t>
      </w:r>
      <w:r w:rsidR="00027D30">
        <w:rPr>
          <w:lang w:val="en-GB"/>
        </w:rPr>
        <w:t xml:space="preserve"> CCU or the methodologies according to Article 51(1) of the </w:t>
      </w:r>
      <w:r w:rsidR="007C701F">
        <w:rPr>
          <w:lang w:val="en-GB"/>
        </w:rPr>
        <w:t>EB Regulation</w:t>
      </w:r>
      <w:r w:rsidR="00027D30">
        <w:rPr>
          <w:lang w:val="en-GB"/>
        </w:rPr>
        <w:t>), specifically regarding the price calculation, where both the exchanges as a result of the frequency containment process and the unintended exchanges are used, cross-references between the methodologies are unavoidable.</w:t>
      </w:r>
    </w:p>
    <w:p w14:paraId="0CAFD205" w14:textId="04E9BFB5" w:rsidR="00541937" w:rsidRPr="00BE5580" w:rsidRDefault="00541937" w:rsidP="00C771E2">
      <w:pPr>
        <w:pStyle w:val="Listenabsatz"/>
        <w:numPr>
          <w:ilvl w:val="0"/>
          <w:numId w:val="5"/>
        </w:numPr>
        <w:spacing w:after="120"/>
        <w:ind w:left="1080" w:hanging="720"/>
        <w:contextualSpacing w:val="0"/>
        <w:rPr>
          <w:lang w:val="en-GB"/>
        </w:rPr>
      </w:pPr>
      <w:bookmarkStart w:id="12" w:name="_Ref436817321"/>
      <w:bookmarkEnd w:id="10"/>
      <w:r w:rsidRPr="00BE5580">
        <w:rPr>
          <w:lang w:val="en-US"/>
        </w:rPr>
        <w:t>The CCU was developed taking into account the consistency with</w:t>
      </w:r>
      <w:r w:rsidR="00756F15" w:rsidRPr="00296E90">
        <w:rPr>
          <w:lang w:val="en-US"/>
        </w:rPr>
        <w:t xml:space="preserve"> the</w:t>
      </w:r>
      <w:r w:rsidRPr="00BE5580">
        <w:rPr>
          <w:lang w:val="en-US"/>
        </w:rPr>
        <w:t xml:space="preserve"> settlement rules of</w:t>
      </w:r>
      <w:r w:rsidRPr="00612F75">
        <w:rPr>
          <w:lang w:val="en-US"/>
        </w:rPr>
        <w:t xml:space="preserve"> intended exchange</w:t>
      </w:r>
      <w:r w:rsidR="0017120A">
        <w:rPr>
          <w:lang w:val="en-US"/>
        </w:rPr>
        <w:t>s</w:t>
      </w:r>
      <w:r w:rsidRPr="00612F75">
        <w:rPr>
          <w:lang w:val="en-US"/>
        </w:rPr>
        <w:t xml:space="preserve"> between synchronous areas in accordance with Article 50(4) of the </w:t>
      </w:r>
      <w:r w:rsidR="007C701F">
        <w:rPr>
          <w:lang w:val="en-US"/>
        </w:rPr>
        <w:t>EB Regulation</w:t>
      </w:r>
      <w:r w:rsidRPr="00612F75">
        <w:rPr>
          <w:lang w:val="en-US"/>
        </w:rPr>
        <w:t xml:space="preserve"> and </w:t>
      </w:r>
      <w:r w:rsidR="0017120A">
        <w:rPr>
          <w:lang w:val="en-US"/>
        </w:rPr>
        <w:t>of</w:t>
      </w:r>
      <w:r w:rsidRPr="00612F75">
        <w:rPr>
          <w:lang w:val="en-US"/>
        </w:rPr>
        <w:t xml:space="preserve"> unintended exchanges in accordance with Article 51(2) of the </w:t>
      </w:r>
      <w:r w:rsidR="007C701F">
        <w:rPr>
          <w:lang w:val="en-US"/>
        </w:rPr>
        <w:t>EB Regulation</w:t>
      </w:r>
      <w:r w:rsidRPr="00612F75">
        <w:rPr>
          <w:lang w:val="en-US"/>
        </w:rPr>
        <w:t>.</w:t>
      </w:r>
    </w:p>
    <w:p w14:paraId="4337C6A4" w14:textId="166C4478" w:rsidR="00412B54" w:rsidRDefault="00926D40" w:rsidP="00C771E2">
      <w:pPr>
        <w:pStyle w:val="Listenabsatz"/>
        <w:numPr>
          <w:ilvl w:val="0"/>
          <w:numId w:val="5"/>
        </w:numPr>
        <w:spacing w:after="120"/>
        <w:ind w:left="1080" w:hanging="720"/>
        <w:contextualSpacing w:val="0"/>
        <w:rPr>
          <w:lang w:val="en-GB"/>
        </w:rPr>
      </w:pPr>
      <w:r w:rsidRPr="00992ABA">
        <w:rPr>
          <w:lang w:val="en-GB"/>
        </w:rPr>
        <w:t>In conclusion, the</w:t>
      </w:r>
      <w:r w:rsidR="00624F73" w:rsidRPr="00992ABA">
        <w:rPr>
          <w:lang w:val="en-GB"/>
        </w:rPr>
        <w:t xml:space="preserve"> </w:t>
      </w:r>
      <w:r w:rsidR="00872F5F">
        <w:rPr>
          <w:lang w:val="en-US"/>
        </w:rPr>
        <w:t>CCU</w:t>
      </w:r>
      <w:r w:rsidR="00B7346A">
        <w:rPr>
          <w:lang w:val="en-US"/>
        </w:rPr>
        <w:t xml:space="preserve"> </w:t>
      </w:r>
      <w:r w:rsidRPr="00992ABA">
        <w:rPr>
          <w:lang w:val="en-GB"/>
        </w:rPr>
        <w:t xml:space="preserve">contributes to the general objectives of </w:t>
      </w:r>
      <w:r w:rsidR="00F847BC">
        <w:rPr>
          <w:lang w:val="en-GB"/>
        </w:rPr>
        <w:t xml:space="preserve">the </w:t>
      </w:r>
      <w:r w:rsidR="007C701F">
        <w:rPr>
          <w:lang w:val="en-GB"/>
        </w:rPr>
        <w:t>EB Regulation</w:t>
      </w:r>
      <w:r w:rsidR="0099313B">
        <w:rPr>
          <w:lang w:val="en-GB"/>
        </w:rPr>
        <w:t>.</w:t>
      </w:r>
      <w:r w:rsidRPr="00992ABA">
        <w:rPr>
          <w:lang w:val="en-GB"/>
        </w:rPr>
        <w:t xml:space="preserve"> </w:t>
      </w:r>
      <w:bookmarkEnd w:id="12"/>
    </w:p>
    <w:p w14:paraId="4DCC4AEF" w14:textId="77777777" w:rsidR="00724920" w:rsidRPr="00724920" w:rsidRDefault="00724920" w:rsidP="00724920">
      <w:pPr>
        <w:pStyle w:val="Listenabsatz"/>
        <w:rPr>
          <w:lang w:val="en-GB"/>
        </w:rPr>
      </w:pPr>
    </w:p>
    <w:p w14:paraId="70E4F5C7" w14:textId="0A3165A3" w:rsidR="00CF37A6" w:rsidRDefault="00CF37A6">
      <w:pPr>
        <w:rPr>
          <w:rFonts w:ascii="Times New Roman" w:hAnsi="Times New Roman" w:cstheme="majorHAnsi"/>
          <w:b/>
          <w:color w:val="23236E" w:themeColor="text2"/>
          <w:sz w:val="24"/>
          <w:szCs w:val="24"/>
        </w:rPr>
      </w:pPr>
      <w:bookmarkStart w:id="13" w:name="_Toc432586769"/>
      <w:bookmarkStart w:id="14" w:name="_Toc432586789"/>
      <w:bookmarkStart w:id="15" w:name="_Toc509993359"/>
      <w:bookmarkStart w:id="16" w:name="_Toc510006479"/>
      <w:bookmarkStart w:id="17" w:name="_Toc510507371"/>
      <w:bookmarkStart w:id="18" w:name="_Toc510522098"/>
    </w:p>
    <w:p w14:paraId="748E17BB" w14:textId="77777777" w:rsidR="00084474" w:rsidRDefault="00084474">
      <w:pPr>
        <w:rPr>
          <w:rFonts w:ascii="Times New Roman" w:hAnsi="Times New Roman" w:cstheme="majorHAnsi"/>
          <w:b/>
          <w:color w:val="23236E" w:themeColor="text2"/>
          <w:sz w:val="24"/>
          <w:szCs w:val="24"/>
        </w:rPr>
      </w:pPr>
    </w:p>
    <w:p w14:paraId="683A6602" w14:textId="77777777" w:rsidR="00C2641D" w:rsidRDefault="008E5703" w:rsidP="00C2641D">
      <w:pPr>
        <w:pStyle w:val="headline2"/>
      </w:pPr>
      <w:r>
        <w:br w:type="page"/>
      </w:r>
    </w:p>
    <w:p w14:paraId="23685922" w14:textId="589A61DE" w:rsidR="00C2641D" w:rsidRPr="00E17CBF" w:rsidRDefault="00C2641D" w:rsidP="00C2641D">
      <w:pPr>
        <w:pStyle w:val="headline2"/>
      </w:pPr>
      <w:bookmarkStart w:id="19" w:name="_Hlk7462627"/>
      <w:bookmarkStart w:id="20" w:name="_Toc32931246"/>
      <w:r>
        <w:t>Abbreviations</w:t>
      </w:r>
      <w:bookmarkEnd w:id="20"/>
    </w:p>
    <w:p w14:paraId="721C9645" w14:textId="77777777" w:rsidR="009D6AE4" w:rsidRDefault="009D6AE4" w:rsidP="00BE5580">
      <w:pPr>
        <w:spacing w:after="120"/>
      </w:pPr>
      <w:r w:rsidRPr="009D6AE4">
        <w:t xml:space="preserve">The list of abbreviations used in this </w:t>
      </w:r>
      <w:r>
        <w:t>CCU</w:t>
      </w:r>
      <w:r w:rsidRPr="009D6AE4">
        <w:t xml:space="preserve"> is</w:t>
      </w:r>
      <w:r>
        <w:t xml:space="preserve"> the</w:t>
      </w:r>
      <w:r w:rsidRPr="009D6AE4">
        <w:t xml:space="preserve"> following: </w:t>
      </w:r>
    </w:p>
    <w:p w14:paraId="3F2A4DCF" w14:textId="5385FAF7" w:rsidR="00C842AC" w:rsidRDefault="00C842AC" w:rsidP="00BE5580">
      <w:pPr>
        <w:pStyle w:val="Listenabsatz"/>
        <w:numPr>
          <w:ilvl w:val="0"/>
          <w:numId w:val="43"/>
        </w:numPr>
        <w:spacing w:after="120"/>
        <w:contextualSpacing w:val="0"/>
      </w:pPr>
      <w:r w:rsidRPr="00C842AC">
        <w:t>ACE: area control error</w:t>
      </w:r>
    </w:p>
    <w:p w14:paraId="55F9A6CE" w14:textId="406765BA" w:rsidR="00EF28AD" w:rsidRDefault="00EF28AD" w:rsidP="00BE5580">
      <w:pPr>
        <w:pStyle w:val="Listenabsatz"/>
        <w:numPr>
          <w:ilvl w:val="0"/>
          <w:numId w:val="43"/>
        </w:numPr>
        <w:spacing w:after="120"/>
        <w:contextualSpacing w:val="0"/>
      </w:pPr>
      <w:r>
        <w:t xml:space="preserve">ACER: </w:t>
      </w:r>
      <w:r w:rsidRPr="00A67448">
        <w:t>Agency for the Cooperation of Energy Regulators</w:t>
      </w:r>
    </w:p>
    <w:p w14:paraId="4A1DE9BB" w14:textId="4BDB050A" w:rsidR="00DC2040" w:rsidRDefault="00291680" w:rsidP="00747CC6">
      <w:pPr>
        <w:pStyle w:val="Listenabsatz"/>
        <w:numPr>
          <w:ilvl w:val="0"/>
          <w:numId w:val="43"/>
        </w:numPr>
        <w:spacing w:after="120"/>
        <w:contextualSpacing w:val="0"/>
      </w:pPr>
      <w:r>
        <w:t xml:space="preserve">ANES: aggregated netted external schedules </w:t>
      </w:r>
    </w:p>
    <w:p w14:paraId="4C877645" w14:textId="19C67220" w:rsidR="00BE5580" w:rsidRDefault="00BE5580" w:rsidP="00BE5580">
      <w:pPr>
        <w:pStyle w:val="Listenabsatz"/>
        <w:numPr>
          <w:ilvl w:val="0"/>
          <w:numId w:val="43"/>
        </w:numPr>
        <w:spacing w:after="120"/>
        <w:contextualSpacing w:val="0"/>
      </w:pPr>
      <w:r>
        <w:rPr>
          <w:lang w:val="en-GB"/>
        </w:rPr>
        <w:t>CCFR: common settlement rules for continental Europe for intended exchanges of energy as a result of the frequency containment process and ramping period</w:t>
      </w:r>
    </w:p>
    <w:p w14:paraId="39B8E299" w14:textId="2A3EF69C" w:rsidR="009D6AE4" w:rsidRDefault="009D6AE4" w:rsidP="00BE5580">
      <w:pPr>
        <w:pStyle w:val="Listenabsatz"/>
        <w:numPr>
          <w:ilvl w:val="0"/>
          <w:numId w:val="43"/>
        </w:numPr>
        <w:spacing w:after="120"/>
        <w:contextualSpacing w:val="0"/>
      </w:pPr>
      <w:r>
        <w:t xml:space="preserve">CCU: </w:t>
      </w:r>
      <w:r w:rsidR="00C842AC">
        <w:rPr>
          <w:lang w:val="en-US"/>
        </w:rPr>
        <w:t>common settlement rules for continental Europe for all unintended exchanges of energy</w:t>
      </w:r>
    </w:p>
    <w:p w14:paraId="536B3D4B" w14:textId="528B6E88" w:rsidR="00991452" w:rsidRDefault="007C701F" w:rsidP="00BE5580">
      <w:pPr>
        <w:pStyle w:val="Listenabsatz"/>
        <w:numPr>
          <w:ilvl w:val="0"/>
          <w:numId w:val="43"/>
        </w:numPr>
        <w:spacing w:after="120"/>
        <w:contextualSpacing w:val="0"/>
      </w:pPr>
      <w:r>
        <w:rPr>
          <w:lang w:val="en-GB"/>
        </w:rPr>
        <w:t>EB Regulation</w:t>
      </w:r>
      <w:r w:rsidR="00991452" w:rsidRPr="00991452">
        <w:rPr>
          <w:lang w:val="en-GB"/>
        </w:rPr>
        <w:t>: Commission Regulation (EU) 2017/2195 of 23 November 2017 establishing a guideline on electricity balancing</w:t>
      </w:r>
    </w:p>
    <w:p w14:paraId="0B528CF7" w14:textId="709B1782" w:rsidR="00C842AC" w:rsidRDefault="00C842AC" w:rsidP="00BE5580">
      <w:pPr>
        <w:pStyle w:val="Listenabsatz"/>
        <w:numPr>
          <w:ilvl w:val="0"/>
          <w:numId w:val="43"/>
        </w:numPr>
        <w:spacing w:after="120"/>
        <w:contextualSpacing w:val="0"/>
      </w:pPr>
      <w:r w:rsidRPr="00C842AC">
        <w:rPr>
          <w:lang w:val="en-GB"/>
        </w:rPr>
        <w:t xml:space="preserve">Electricity Regulation: </w:t>
      </w:r>
      <w:r w:rsidRPr="006F6245">
        <w:rPr>
          <w:lang w:val="en-GB"/>
        </w:rPr>
        <w:t>Regulation (EC) No 714/2009 of the European Parl</w:t>
      </w:r>
      <w:r>
        <w:rPr>
          <w:lang w:val="en-GB"/>
        </w:rPr>
        <w:t>iament and of the Council of 13</w:t>
      </w:r>
      <w:r w:rsidRPr="006F6245">
        <w:rPr>
          <w:lang w:val="en-GB"/>
        </w:rPr>
        <w:t xml:space="preserve"> July 2009 on conditions for access to the network for cross-border exchanges in electricity</w:t>
      </w:r>
    </w:p>
    <w:p w14:paraId="08E1BBAF" w14:textId="0B7B2561" w:rsidR="00747CC6" w:rsidRDefault="00747CC6" w:rsidP="00BE5580">
      <w:pPr>
        <w:pStyle w:val="Listenabsatz"/>
        <w:numPr>
          <w:ilvl w:val="0"/>
          <w:numId w:val="43"/>
        </w:numPr>
        <w:spacing w:after="120"/>
        <w:contextualSpacing w:val="0"/>
      </w:pPr>
      <w:r>
        <w:rPr>
          <w:lang w:val="en-GB"/>
        </w:rPr>
        <w:t xml:space="preserve">LFC area: </w:t>
      </w:r>
      <w:r w:rsidRPr="00747CC6">
        <w:rPr>
          <w:lang w:val="en-GB"/>
        </w:rPr>
        <w:t>load-frequency control area</w:t>
      </w:r>
    </w:p>
    <w:p w14:paraId="470208AC" w14:textId="55EF417A" w:rsidR="00747CC6" w:rsidRDefault="00747CC6" w:rsidP="00BE5580">
      <w:pPr>
        <w:pStyle w:val="Listenabsatz"/>
        <w:numPr>
          <w:ilvl w:val="0"/>
          <w:numId w:val="43"/>
        </w:numPr>
        <w:spacing w:after="120"/>
        <w:contextualSpacing w:val="0"/>
      </w:pPr>
      <w:r w:rsidRPr="00747CC6">
        <w:rPr>
          <w:lang w:val="en-GB"/>
        </w:rPr>
        <w:t xml:space="preserve">LFC block: load-frequency control block </w:t>
      </w:r>
    </w:p>
    <w:p w14:paraId="47CE4BAA" w14:textId="2E8B6D29" w:rsidR="00747CC6" w:rsidRPr="00747CC6" w:rsidRDefault="00747CC6" w:rsidP="00BE5580">
      <w:pPr>
        <w:pStyle w:val="Listenabsatz"/>
        <w:numPr>
          <w:ilvl w:val="0"/>
          <w:numId w:val="43"/>
        </w:numPr>
        <w:spacing w:after="120"/>
        <w:contextualSpacing w:val="0"/>
      </w:pPr>
      <w:r w:rsidRPr="00BE5580">
        <w:rPr>
          <w:lang w:val="fr-FR"/>
        </w:rPr>
        <w:t>SA CE: Synchronous Area Continental Europe</w:t>
      </w:r>
    </w:p>
    <w:p w14:paraId="1ECE8767" w14:textId="4A1C476C" w:rsidR="00C842AC" w:rsidRPr="003A3692" w:rsidRDefault="007C701F" w:rsidP="00BE5580">
      <w:pPr>
        <w:pStyle w:val="Listenabsatz"/>
        <w:numPr>
          <w:ilvl w:val="0"/>
          <w:numId w:val="43"/>
        </w:numPr>
        <w:spacing w:after="120"/>
        <w:contextualSpacing w:val="0"/>
      </w:pPr>
      <w:r>
        <w:rPr>
          <w:lang w:val="en-GB"/>
        </w:rPr>
        <w:t>SO Regulation</w:t>
      </w:r>
      <w:r w:rsidR="00C842AC">
        <w:rPr>
          <w:lang w:val="en-GB"/>
        </w:rPr>
        <w:t xml:space="preserve">: Regulation (EC) No 2017/1485 of 2 August 2017 </w:t>
      </w:r>
      <w:r w:rsidR="00C842AC" w:rsidRPr="00AA3E52">
        <w:rPr>
          <w:lang w:val="en-GB"/>
        </w:rPr>
        <w:t>establishing a guideline on electricity transmission system operation</w:t>
      </w:r>
    </w:p>
    <w:p w14:paraId="7DA66089" w14:textId="27788955" w:rsidR="007C701F" w:rsidRPr="00991452" w:rsidRDefault="007C701F" w:rsidP="007C701F">
      <w:pPr>
        <w:pStyle w:val="Listenabsatz"/>
        <w:numPr>
          <w:ilvl w:val="0"/>
          <w:numId w:val="43"/>
        </w:numPr>
        <w:spacing w:after="120"/>
        <w:contextualSpacing w:val="0"/>
      </w:pPr>
      <w:r>
        <w:rPr>
          <w:lang w:val="en-GB"/>
        </w:rPr>
        <w:t xml:space="preserve">SAFA: Synchronous Area Framework Agreement, between all </w:t>
      </w:r>
      <w:r w:rsidR="00B2491A">
        <w:rPr>
          <w:lang w:val="en-GB"/>
        </w:rPr>
        <w:t xml:space="preserve">SA </w:t>
      </w:r>
      <w:r>
        <w:rPr>
          <w:lang w:val="en-GB"/>
        </w:rPr>
        <w:t>CE TSOs.</w:t>
      </w:r>
    </w:p>
    <w:p w14:paraId="1A376E8D" w14:textId="1697F8B2" w:rsidR="00DF5AB6" w:rsidRDefault="00DF5AB6" w:rsidP="00BE5580">
      <w:pPr>
        <w:pStyle w:val="Listenabsatz"/>
        <w:numPr>
          <w:ilvl w:val="0"/>
          <w:numId w:val="43"/>
        </w:numPr>
        <w:spacing w:after="120"/>
        <w:contextualSpacing w:val="0"/>
      </w:pPr>
      <w:r>
        <w:rPr>
          <w:lang w:val="en-GB"/>
        </w:rPr>
        <w:t xml:space="preserve">TSO: </w:t>
      </w:r>
      <w:r w:rsidRPr="00992ABA">
        <w:rPr>
          <w:lang w:val="en-GB"/>
        </w:rPr>
        <w:t>Transmission System Operator</w:t>
      </w:r>
    </w:p>
    <w:p w14:paraId="3C42984D" w14:textId="77777777" w:rsidR="008800DF" w:rsidRDefault="008800DF"/>
    <w:p w14:paraId="45E9D1C3" w14:textId="77777777" w:rsidR="008800DF" w:rsidRPr="00BE5580" w:rsidRDefault="008800DF" w:rsidP="008800DF">
      <w:pPr>
        <w:spacing w:after="120"/>
        <w:jc w:val="both"/>
        <w:rPr>
          <w:b/>
        </w:rPr>
      </w:pPr>
      <w:r w:rsidRPr="00BE5580">
        <w:rPr>
          <w:b/>
        </w:rPr>
        <w:t xml:space="preserve">SUBMIT THE FOLLOWING </w:t>
      </w:r>
      <w:r w:rsidRPr="00BE5580">
        <w:rPr>
          <w:b/>
          <w:lang w:val="en-US"/>
        </w:rPr>
        <w:t xml:space="preserve">CCU </w:t>
      </w:r>
      <w:r w:rsidRPr="00BE5580">
        <w:rPr>
          <w:b/>
        </w:rPr>
        <w:t>TO ALL RELEVANT REGULATORY AUTHORITIES:</w:t>
      </w:r>
    </w:p>
    <w:bookmarkEnd w:id="19"/>
    <w:p w14:paraId="04AEF398" w14:textId="78D270E9" w:rsidR="00820BFB" w:rsidRDefault="00820BFB">
      <w:pPr>
        <w:rPr>
          <w:rFonts w:ascii="Times New Roman" w:hAnsi="Times New Roman" w:cstheme="majorHAnsi"/>
          <w:b/>
          <w:color w:val="23236E" w:themeColor="text2"/>
          <w:sz w:val="24"/>
          <w:szCs w:val="24"/>
        </w:rPr>
      </w:pPr>
      <w:r>
        <w:br w:type="page"/>
      </w:r>
    </w:p>
    <w:p w14:paraId="5599E8E0" w14:textId="1E4A39B9" w:rsidR="008A0967" w:rsidRPr="00992ABA" w:rsidRDefault="00D070C8" w:rsidP="00E17CBF">
      <w:pPr>
        <w:pStyle w:val="headline2"/>
      </w:pPr>
      <w:bookmarkStart w:id="21" w:name="_Toc32931247"/>
      <w:r w:rsidRPr="00992ABA">
        <w:t>Article 1</w:t>
      </w:r>
      <w:r w:rsidR="003F4045" w:rsidRPr="00992ABA">
        <w:br/>
      </w:r>
      <w:r w:rsidR="008A0967" w:rsidRPr="00992ABA">
        <w:t>Subject matter and scope</w:t>
      </w:r>
      <w:bookmarkEnd w:id="13"/>
      <w:bookmarkEnd w:id="14"/>
      <w:bookmarkEnd w:id="15"/>
      <w:bookmarkEnd w:id="16"/>
      <w:bookmarkEnd w:id="17"/>
      <w:bookmarkEnd w:id="18"/>
      <w:bookmarkEnd w:id="21"/>
    </w:p>
    <w:p w14:paraId="0C87ABA6" w14:textId="50BE29F9" w:rsidR="002A533C" w:rsidRPr="00296E90" w:rsidRDefault="002A533C" w:rsidP="00C771E2">
      <w:pPr>
        <w:pStyle w:val="Listenabsatz"/>
        <w:numPr>
          <w:ilvl w:val="0"/>
          <w:numId w:val="6"/>
        </w:numPr>
        <w:spacing w:after="120"/>
        <w:ind w:left="360" w:hanging="357"/>
        <w:contextualSpacing w:val="0"/>
        <w:rPr>
          <w:lang w:val="en-GB"/>
        </w:rPr>
      </w:pPr>
      <w:bookmarkStart w:id="22" w:name="_Toc432586770"/>
      <w:bookmarkStart w:id="23" w:name="_Toc432586790"/>
      <w:r w:rsidRPr="002A533C">
        <w:rPr>
          <w:lang w:val="en-GB"/>
        </w:rPr>
        <w:t xml:space="preserve">The </w:t>
      </w:r>
      <w:r w:rsidRPr="00296E90">
        <w:rPr>
          <w:lang w:val="en-GB"/>
        </w:rPr>
        <w:t xml:space="preserve">common settlement rules for </w:t>
      </w:r>
      <w:r w:rsidR="00D571B6" w:rsidRPr="00296E90">
        <w:rPr>
          <w:lang w:val="en-GB"/>
        </w:rPr>
        <w:t xml:space="preserve">all unintended exchange </w:t>
      </w:r>
      <w:r w:rsidRPr="00296E90">
        <w:rPr>
          <w:lang w:val="en-GB"/>
        </w:rPr>
        <w:t xml:space="preserve">as determined in this </w:t>
      </w:r>
      <w:r w:rsidR="00CE2B02" w:rsidRPr="00296E90">
        <w:rPr>
          <w:lang w:val="en-US"/>
        </w:rPr>
        <w:t>CCU</w:t>
      </w:r>
      <w:r w:rsidRPr="00296E90">
        <w:rPr>
          <w:lang w:val="en-GB"/>
        </w:rPr>
        <w:t xml:space="preserve"> </w:t>
      </w:r>
      <w:r w:rsidR="003A3692">
        <w:rPr>
          <w:lang w:val="en-GB"/>
        </w:rPr>
        <w:t>are</w:t>
      </w:r>
      <w:r w:rsidR="003A3692" w:rsidRPr="00296E90">
        <w:rPr>
          <w:lang w:val="en-GB"/>
        </w:rPr>
        <w:t xml:space="preserve"> </w:t>
      </w:r>
      <w:r w:rsidRPr="00296E90">
        <w:rPr>
          <w:lang w:val="en-GB"/>
        </w:rPr>
        <w:t xml:space="preserve">the common proposal of all </w:t>
      </w:r>
      <w:r w:rsidR="005A3B39" w:rsidRPr="00296E90">
        <w:rPr>
          <w:lang w:val="en-GB"/>
        </w:rPr>
        <w:t xml:space="preserve">SA </w:t>
      </w:r>
      <w:r w:rsidR="00CE2B02" w:rsidRPr="00296E90">
        <w:rPr>
          <w:lang w:val="en-GB"/>
        </w:rPr>
        <w:t>CE TSOs</w:t>
      </w:r>
      <w:r w:rsidRPr="00296E90">
        <w:rPr>
          <w:lang w:val="en-GB"/>
        </w:rPr>
        <w:t xml:space="preserve"> in accordance with </w:t>
      </w:r>
      <w:r w:rsidR="00C762B3" w:rsidRPr="00296E90">
        <w:rPr>
          <w:lang w:val="en-GB"/>
        </w:rPr>
        <w:t>Article</w:t>
      </w:r>
      <w:r w:rsidR="00CE2B02" w:rsidRPr="00296E90">
        <w:rPr>
          <w:lang w:val="en-GB"/>
        </w:rPr>
        <w:t xml:space="preserve"> </w:t>
      </w:r>
      <w:r w:rsidRPr="00296E90">
        <w:rPr>
          <w:lang w:val="en-GB"/>
        </w:rPr>
        <w:t xml:space="preserve">51(1) of the </w:t>
      </w:r>
      <w:r w:rsidR="007C701F">
        <w:rPr>
          <w:lang w:val="en-GB"/>
        </w:rPr>
        <w:t>EB Regulation</w:t>
      </w:r>
      <w:r w:rsidRPr="00296E90">
        <w:rPr>
          <w:lang w:val="en-GB"/>
        </w:rPr>
        <w:t>.</w:t>
      </w:r>
    </w:p>
    <w:p w14:paraId="22F1171A" w14:textId="3686C1CA" w:rsidR="001A31E0" w:rsidRPr="00296E90" w:rsidRDefault="00E96313" w:rsidP="00C771E2">
      <w:pPr>
        <w:pStyle w:val="Listenabsatz"/>
        <w:numPr>
          <w:ilvl w:val="0"/>
          <w:numId w:val="6"/>
        </w:numPr>
        <w:spacing w:after="120"/>
        <w:ind w:left="360" w:hanging="357"/>
        <w:contextualSpacing w:val="0"/>
        <w:rPr>
          <w:lang w:val="en-GB"/>
        </w:rPr>
      </w:pPr>
      <w:r w:rsidRPr="00296E90">
        <w:rPr>
          <w:lang w:val="en-GB"/>
        </w:rPr>
        <w:t>The following settlement rules are out of scope of the CCU</w:t>
      </w:r>
      <w:r w:rsidR="001A31E0" w:rsidRPr="00296E90">
        <w:rPr>
          <w:lang w:val="en-GB"/>
        </w:rPr>
        <w:t>:</w:t>
      </w:r>
    </w:p>
    <w:p w14:paraId="16100F33" w14:textId="2A5D25DA" w:rsidR="002A533C" w:rsidRPr="00296E90" w:rsidRDefault="0089127B" w:rsidP="00C771E2">
      <w:pPr>
        <w:pStyle w:val="Listenabsatz"/>
        <w:numPr>
          <w:ilvl w:val="1"/>
          <w:numId w:val="6"/>
        </w:numPr>
        <w:spacing w:after="120"/>
        <w:ind w:left="993" w:hanging="357"/>
        <w:contextualSpacing w:val="0"/>
        <w:rPr>
          <w:lang w:val="en-GB"/>
        </w:rPr>
      </w:pPr>
      <w:r w:rsidRPr="00296E90">
        <w:rPr>
          <w:lang w:val="en-GB"/>
        </w:rPr>
        <w:t>t</w:t>
      </w:r>
      <w:r w:rsidR="00D571B6" w:rsidRPr="00296E90">
        <w:rPr>
          <w:lang w:val="en-GB"/>
        </w:rPr>
        <w:t>he common settlement rules for intended exchange</w:t>
      </w:r>
      <w:r w:rsidR="00BA4A71">
        <w:rPr>
          <w:lang w:val="en-GB"/>
        </w:rPr>
        <w:t>s</w:t>
      </w:r>
      <w:r w:rsidR="00D571B6" w:rsidRPr="00296E90">
        <w:rPr>
          <w:lang w:val="en-GB"/>
        </w:rPr>
        <w:t xml:space="preserve"> of energy in accordance with </w:t>
      </w:r>
      <w:r w:rsidR="00C762B3" w:rsidRPr="00296E90">
        <w:rPr>
          <w:lang w:val="en-GB"/>
        </w:rPr>
        <w:t>Article</w:t>
      </w:r>
      <w:r w:rsidR="00CE2B02" w:rsidRPr="00296E90">
        <w:rPr>
          <w:lang w:val="en-GB"/>
        </w:rPr>
        <w:t xml:space="preserve"> </w:t>
      </w:r>
      <w:r w:rsidR="00D571B6" w:rsidRPr="00296E90">
        <w:rPr>
          <w:lang w:val="en-GB"/>
        </w:rPr>
        <w:t>5</w:t>
      </w:r>
      <w:r w:rsidR="001A31E0" w:rsidRPr="00296E90">
        <w:rPr>
          <w:lang w:val="en-GB"/>
        </w:rPr>
        <w:t>0(1)</w:t>
      </w:r>
      <w:r w:rsidR="00CE2B02" w:rsidRPr="00296E90">
        <w:rPr>
          <w:lang w:val="en-GB"/>
        </w:rPr>
        <w:t xml:space="preserve"> of the </w:t>
      </w:r>
      <w:r w:rsidR="007C701F">
        <w:rPr>
          <w:lang w:val="en-GB"/>
        </w:rPr>
        <w:t>EB Regulation</w:t>
      </w:r>
      <w:r w:rsidR="001A31E0" w:rsidRPr="00296E90">
        <w:rPr>
          <w:lang w:val="en-GB"/>
        </w:rPr>
        <w:t xml:space="preserve">; </w:t>
      </w:r>
    </w:p>
    <w:p w14:paraId="6393CBE6" w14:textId="5BAF2CA2" w:rsidR="00FA0D5C" w:rsidRPr="00296E90" w:rsidRDefault="0089127B" w:rsidP="00C771E2">
      <w:pPr>
        <w:pStyle w:val="Listenabsatz"/>
        <w:numPr>
          <w:ilvl w:val="1"/>
          <w:numId w:val="6"/>
        </w:numPr>
        <w:spacing w:after="120"/>
        <w:ind w:left="993" w:hanging="357"/>
        <w:contextualSpacing w:val="0"/>
        <w:rPr>
          <w:lang w:val="en-GB"/>
        </w:rPr>
      </w:pPr>
      <w:r w:rsidRPr="00296E90">
        <w:rPr>
          <w:lang w:val="en-GB"/>
        </w:rPr>
        <w:t>t</w:t>
      </w:r>
      <w:r w:rsidR="00FA0D5C" w:rsidRPr="00296E90">
        <w:rPr>
          <w:lang w:val="en-GB"/>
        </w:rPr>
        <w:t>he common settlement rules for intended exchange</w:t>
      </w:r>
      <w:r w:rsidR="00BA4A71">
        <w:rPr>
          <w:lang w:val="en-GB"/>
        </w:rPr>
        <w:t>s</w:t>
      </w:r>
      <w:r w:rsidR="00FA0D5C" w:rsidRPr="00296E90">
        <w:rPr>
          <w:lang w:val="en-GB"/>
        </w:rPr>
        <w:t xml:space="preserve"> of energy in accordance with </w:t>
      </w:r>
      <w:r w:rsidR="00C762B3" w:rsidRPr="00296E90">
        <w:rPr>
          <w:lang w:val="en-GB"/>
        </w:rPr>
        <w:t>Article</w:t>
      </w:r>
      <w:r w:rsidR="00CE2B02" w:rsidRPr="00296E90">
        <w:rPr>
          <w:lang w:val="en-GB"/>
        </w:rPr>
        <w:t xml:space="preserve"> </w:t>
      </w:r>
      <w:r w:rsidR="00FA0D5C" w:rsidRPr="00296E90">
        <w:rPr>
          <w:lang w:val="en-GB"/>
        </w:rPr>
        <w:t>50(3)</w:t>
      </w:r>
      <w:r w:rsidR="00CE2B02" w:rsidRPr="00296E90">
        <w:rPr>
          <w:lang w:val="en-GB"/>
        </w:rPr>
        <w:t xml:space="preserve"> of the </w:t>
      </w:r>
      <w:r w:rsidR="007C701F">
        <w:rPr>
          <w:lang w:val="en-GB"/>
        </w:rPr>
        <w:t>EB Regulation</w:t>
      </w:r>
      <w:r w:rsidR="00FA0D5C" w:rsidRPr="00296E90">
        <w:rPr>
          <w:lang w:val="en-GB"/>
        </w:rPr>
        <w:t xml:space="preserve">; </w:t>
      </w:r>
    </w:p>
    <w:p w14:paraId="0123C756" w14:textId="221299D1" w:rsidR="00D571B6" w:rsidRDefault="0089127B" w:rsidP="00C771E2">
      <w:pPr>
        <w:pStyle w:val="Listenabsatz"/>
        <w:numPr>
          <w:ilvl w:val="1"/>
          <w:numId w:val="6"/>
        </w:numPr>
        <w:spacing w:after="120"/>
        <w:ind w:left="993" w:hanging="357"/>
        <w:contextualSpacing w:val="0"/>
        <w:rPr>
          <w:lang w:val="en-GB"/>
        </w:rPr>
      </w:pPr>
      <w:r w:rsidRPr="00296E90">
        <w:rPr>
          <w:lang w:val="en-GB"/>
        </w:rPr>
        <w:t>t</w:t>
      </w:r>
      <w:r w:rsidR="00D571B6" w:rsidRPr="00296E90">
        <w:rPr>
          <w:lang w:val="en-GB"/>
        </w:rPr>
        <w:t xml:space="preserve">he common settlement rules for </w:t>
      </w:r>
      <w:r w:rsidR="005804E5" w:rsidRPr="00296E90">
        <w:rPr>
          <w:lang w:val="en-GB"/>
        </w:rPr>
        <w:t>intended</w:t>
      </w:r>
      <w:r w:rsidR="00D571B6" w:rsidRPr="00296E90">
        <w:rPr>
          <w:lang w:val="en-GB"/>
        </w:rPr>
        <w:t xml:space="preserve"> exchange</w:t>
      </w:r>
      <w:r w:rsidR="007F23D0" w:rsidRPr="00296E90">
        <w:rPr>
          <w:lang w:val="en-GB"/>
        </w:rPr>
        <w:t>s of energy</w:t>
      </w:r>
      <w:r w:rsidR="00D571B6" w:rsidRPr="00296E90">
        <w:rPr>
          <w:lang w:val="en-GB"/>
        </w:rPr>
        <w:t xml:space="preserve"> in accordance with </w:t>
      </w:r>
      <w:r w:rsidR="00BA4A71">
        <w:rPr>
          <w:lang w:val="en-GB"/>
        </w:rPr>
        <w:t>Article</w:t>
      </w:r>
      <w:r w:rsidR="0080641E" w:rsidRPr="00296E90">
        <w:rPr>
          <w:lang w:val="en-GB"/>
        </w:rPr>
        <w:t xml:space="preserve"> </w:t>
      </w:r>
      <w:r w:rsidR="005804E5" w:rsidRPr="00296E90">
        <w:rPr>
          <w:lang w:val="en-GB"/>
        </w:rPr>
        <w:t>50</w:t>
      </w:r>
      <w:r w:rsidR="00D571B6" w:rsidRPr="00296E90">
        <w:rPr>
          <w:lang w:val="en-GB"/>
        </w:rPr>
        <w:t>(</w:t>
      </w:r>
      <w:r w:rsidR="0080641E" w:rsidRPr="00296E90">
        <w:rPr>
          <w:lang w:val="en-GB"/>
        </w:rPr>
        <w:t>4</w:t>
      </w:r>
      <w:r w:rsidR="00D571B6" w:rsidRPr="00296E90">
        <w:rPr>
          <w:lang w:val="en-GB"/>
        </w:rPr>
        <w:t>)</w:t>
      </w:r>
      <w:r w:rsidR="0080641E" w:rsidRPr="00296E90">
        <w:rPr>
          <w:lang w:val="en-GB"/>
        </w:rPr>
        <w:t xml:space="preserve"> of the</w:t>
      </w:r>
      <w:r w:rsidR="0080641E">
        <w:rPr>
          <w:lang w:val="en-GB"/>
        </w:rPr>
        <w:t xml:space="preserve"> </w:t>
      </w:r>
      <w:r w:rsidR="007C701F">
        <w:rPr>
          <w:lang w:val="en-GB"/>
        </w:rPr>
        <w:t>EB Regulation</w:t>
      </w:r>
      <w:r w:rsidR="00FE37F7">
        <w:rPr>
          <w:lang w:val="en-GB"/>
        </w:rPr>
        <w:t xml:space="preserve">; </w:t>
      </w:r>
    </w:p>
    <w:p w14:paraId="00510BB7" w14:textId="3EA39934" w:rsidR="0080641E" w:rsidRPr="00431817" w:rsidRDefault="0089127B" w:rsidP="00C771E2">
      <w:pPr>
        <w:pStyle w:val="Listenabsatz"/>
        <w:numPr>
          <w:ilvl w:val="1"/>
          <w:numId w:val="6"/>
        </w:numPr>
        <w:spacing w:after="120"/>
        <w:ind w:left="993" w:hanging="357"/>
        <w:contextualSpacing w:val="0"/>
        <w:rPr>
          <w:lang w:val="en-GB"/>
        </w:rPr>
      </w:pPr>
      <w:r>
        <w:rPr>
          <w:lang w:val="en-GB"/>
        </w:rPr>
        <w:t>t</w:t>
      </w:r>
      <w:r w:rsidR="0080641E" w:rsidRPr="00431817">
        <w:rPr>
          <w:lang w:val="en-GB"/>
        </w:rPr>
        <w:t>he common settlement rules for unintended exchange</w:t>
      </w:r>
      <w:r w:rsidR="00BA4A71">
        <w:rPr>
          <w:lang w:val="en-GB"/>
        </w:rPr>
        <w:t xml:space="preserve">s of energy </w:t>
      </w:r>
      <w:r w:rsidR="0080641E" w:rsidRPr="00431817">
        <w:rPr>
          <w:lang w:val="en-GB"/>
        </w:rPr>
        <w:t xml:space="preserve">in accordance with </w:t>
      </w:r>
      <w:r w:rsidR="00C762B3">
        <w:rPr>
          <w:lang w:val="en-GB"/>
        </w:rPr>
        <w:t>Article</w:t>
      </w:r>
      <w:r w:rsidR="00861EA1">
        <w:rPr>
          <w:lang w:val="en-GB"/>
        </w:rPr>
        <w:t xml:space="preserve"> 51</w:t>
      </w:r>
      <w:r w:rsidR="0080641E" w:rsidRPr="00431817">
        <w:rPr>
          <w:lang w:val="en-GB"/>
        </w:rPr>
        <w:t xml:space="preserve">(2) of the </w:t>
      </w:r>
      <w:r w:rsidR="007C701F">
        <w:rPr>
          <w:lang w:val="en-GB"/>
        </w:rPr>
        <w:t>EB Regulation</w:t>
      </w:r>
      <w:r w:rsidR="0080641E" w:rsidRPr="00431817">
        <w:rPr>
          <w:lang w:val="en-GB"/>
        </w:rPr>
        <w:t>.</w:t>
      </w:r>
    </w:p>
    <w:p w14:paraId="54A2DD5F" w14:textId="25393529" w:rsidR="00722D73" w:rsidRPr="00FB117E" w:rsidRDefault="00722D73" w:rsidP="00C771E2">
      <w:pPr>
        <w:pStyle w:val="Listenabsatz"/>
        <w:numPr>
          <w:ilvl w:val="0"/>
          <w:numId w:val="6"/>
        </w:numPr>
        <w:spacing w:after="120"/>
        <w:ind w:left="360" w:hanging="357"/>
        <w:contextualSpacing w:val="0"/>
        <w:rPr>
          <w:lang w:val="en-GB"/>
        </w:rPr>
      </w:pPr>
      <w:r>
        <w:rPr>
          <w:lang w:val="en-GB"/>
        </w:rPr>
        <w:t>Governance, cost sharing and decision</w:t>
      </w:r>
      <w:r w:rsidR="0089127B">
        <w:rPr>
          <w:lang w:val="en-GB"/>
        </w:rPr>
        <w:t>-</w:t>
      </w:r>
      <w:r>
        <w:rPr>
          <w:lang w:val="en-GB"/>
        </w:rPr>
        <w:t xml:space="preserve">making will be organised according to the requirements of </w:t>
      </w:r>
      <w:r w:rsidR="00BA4A71">
        <w:rPr>
          <w:lang w:val="en-GB"/>
        </w:rPr>
        <w:t xml:space="preserve">the </w:t>
      </w:r>
      <w:r w:rsidR="007C701F">
        <w:rPr>
          <w:lang w:val="en-GB"/>
        </w:rPr>
        <w:t>EB Regulation</w:t>
      </w:r>
      <w:r w:rsidR="00CE2B02">
        <w:rPr>
          <w:lang w:val="en-GB"/>
        </w:rPr>
        <w:t xml:space="preserve"> </w:t>
      </w:r>
      <w:r>
        <w:rPr>
          <w:lang w:val="en-GB"/>
        </w:rPr>
        <w:t xml:space="preserve">but are not </w:t>
      </w:r>
      <w:r w:rsidR="00D9640A">
        <w:rPr>
          <w:lang w:val="en-GB"/>
        </w:rPr>
        <w:t xml:space="preserve">within the scope </w:t>
      </w:r>
      <w:r>
        <w:rPr>
          <w:lang w:val="en-GB"/>
        </w:rPr>
        <w:t xml:space="preserve">of this </w:t>
      </w:r>
      <w:r w:rsidR="00CE2B02">
        <w:rPr>
          <w:lang w:val="en-US"/>
        </w:rPr>
        <w:t>CCU.</w:t>
      </w:r>
    </w:p>
    <w:p w14:paraId="08D1D2E5" w14:textId="77777777" w:rsidR="00A5756F" w:rsidRPr="002A533C" w:rsidRDefault="00A5756F" w:rsidP="00FB117E">
      <w:pPr>
        <w:pStyle w:val="Listenabsatz"/>
        <w:spacing w:after="120"/>
        <w:ind w:left="360"/>
        <w:contextualSpacing w:val="0"/>
        <w:rPr>
          <w:lang w:val="en-GB"/>
        </w:rPr>
      </w:pPr>
    </w:p>
    <w:p w14:paraId="25C72DA6" w14:textId="53EA6ED2" w:rsidR="00FA0D5C" w:rsidRDefault="00FA0D5C">
      <w:pPr>
        <w:rPr>
          <w:rFonts w:ascii="Times New Roman" w:hAnsi="Times New Roman" w:cstheme="majorHAnsi"/>
          <w:b/>
          <w:color w:val="23236E" w:themeColor="text2"/>
          <w:sz w:val="24"/>
          <w:szCs w:val="24"/>
        </w:rPr>
      </w:pPr>
    </w:p>
    <w:p w14:paraId="07136905" w14:textId="5C32732F" w:rsidR="00877DA5" w:rsidRPr="00992ABA" w:rsidRDefault="00877DA5" w:rsidP="00E17CBF">
      <w:pPr>
        <w:pStyle w:val="headline2"/>
      </w:pPr>
      <w:bookmarkStart w:id="24" w:name="_Toc509993360"/>
      <w:bookmarkStart w:id="25" w:name="_Toc510006480"/>
      <w:bookmarkStart w:id="26" w:name="_Toc510507372"/>
      <w:bookmarkStart w:id="27" w:name="_Toc510522099"/>
      <w:bookmarkStart w:id="28" w:name="_Toc32931248"/>
      <w:r w:rsidRPr="00992ABA">
        <w:t>Article 2</w:t>
      </w:r>
      <w:r w:rsidR="00D35957" w:rsidRPr="00992ABA">
        <w:br/>
      </w:r>
      <w:r w:rsidRPr="00992ABA">
        <w:t>Definitions</w:t>
      </w:r>
      <w:r w:rsidR="00221FC8" w:rsidRPr="00992ABA">
        <w:t xml:space="preserve"> and interpretation</w:t>
      </w:r>
      <w:bookmarkEnd w:id="22"/>
      <w:bookmarkEnd w:id="23"/>
      <w:bookmarkEnd w:id="24"/>
      <w:bookmarkEnd w:id="25"/>
      <w:bookmarkEnd w:id="26"/>
      <w:bookmarkEnd w:id="27"/>
      <w:bookmarkEnd w:id="28"/>
    </w:p>
    <w:p w14:paraId="0EB0AC27" w14:textId="421FB45E" w:rsidR="004542C5" w:rsidRPr="004542C5" w:rsidRDefault="004542C5" w:rsidP="00C771E2">
      <w:pPr>
        <w:pStyle w:val="Listenabsatz"/>
        <w:numPr>
          <w:ilvl w:val="0"/>
          <w:numId w:val="26"/>
        </w:numPr>
        <w:spacing w:after="120"/>
        <w:contextualSpacing w:val="0"/>
        <w:rPr>
          <w:lang w:val="en-GB"/>
        </w:rPr>
      </w:pPr>
      <w:r w:rsidRPr="004542C5">
        <w:rPr>
          <w:lang w:val="en-GB"/>
        </w:rPr>
        <w:t xml:space="preserve">For the purposes of </w:t>
      </w:r>
      <w:r w:rsidR="004E0A35">
        <w:rPr>
          <w:lang w:val="en-GB"/>
        </w:rPr>
        <w:t>this</w:t>
      </w:r>
      <w:r w:rsidR="004E0A35" w:rsidRPr="004542C5">
        <w:rPr>
          <w:lang w:val="en-GB"/>
        </w:rPr>
        <w:t xml:space="preserve"> </w:t>
      </w:r>
      <w:r w:rsidR="004E0A35">
        <w:rPr>
          <w:lang w:val="en-US"/>
        </w:rPr>
        <w:t>CCU</w:t>
      </w:r>
      <w:r w:rsidRPr="004542C5">
        <w:rPr>
          <w:lang w:val="en-GB"/>
        </w:rPr>
        <w:t>, the terms used shall have the definition</w:t>
      </w:r>
      <w:r w:rsidR="004E0A35">
        <w:rPr>
          <w:lang w:val="en-GB"/>
        </w:rPr>
        <w:t>s</w:t>
      </w:r>
      <w:r w:rsidRPr="004542C5">
        <w:rPr>
          <w:lang w:val="en-GB"/>
        </w:rPr>
        <w:t xml:space="preserve"> given to them in Article 2 of </w:t>
      </w:r>
      <w:r w:rsidR="00C762B3">
        <w:rPr>
          <w:lang w:val="en-GB"/>
        </w:rPr>
        <w:t>the</w:t>
      </w:r>
      <w:r w:rsidRPr="004542C5">
        <w:rPr>
          <w:lang w:val="en-GB"/>
        </w:rPr>
        <w:t xml:space="preserve"> </w:t>
      </w:r>
      <w:r w:rsidR="007C701F">
        <w:rPr>
          <w:lang w:val="en-GB"/>
        </w:rPr>
        <w:t>EB Regulation</w:t>
      </w:r>
      <w:r w:rsidR="004E0A35">
        <w:rPr>
          <w:lang w:val="en-GB"/>
        </w:rPr>
        <w:t xml:space="preserve"> </w:t>
      </w:r>
      <w:r w:rsidR="002F5F3A">
        <w:rPr>
          <w:lang w:val="en-GB"/>
        </w:rPr>
        <w:t>and</w:t>
      </w:r>
      <w:r w:rsidRPr="004542C5">
        <w:rPr>
          <w:lang w:val="en-GB"/>
        </w:rPr>
        <w:t xml:space="preserve"> Article 3 of </w:t>
      </w:r>
      <w:r w:rsidR="00C762B3">
        <w:rPr>
          <w:lang w:val="en-GB"/>
        </w:rPr>
        <w:t>the</w:t>
      </w:r>
      <w:r w:rsidRPr="004542C5">
        <w:rPr>
          <w:lang w:val="en-GB"/>
        </w:rPr>
        <w:t xml:space="preserve"> </w:t>
      </w:r>
      <w:r w:rsidR="007C701F">
        <w:rPr>
          <w:lang w:val="en-GB"/>
        </w:rPr>
        <w:t>SO Regulation</w:t>
      </w:r>
      <w:r w:rsidRPr="004542C5">
        <w:rPr>
          <w:lang w:val="en-GB"/>
        </w:rPr>
        <w:t>.</w:t>
      </w:r>
    </w:p>
    <w:p w14:paraId="2AC904A6" w14:textId="53566D9A" w:rsidR="00FE40B4" w:rsidRDefault="004542C5" w:rsidP="00C771E2">
      <w:pPr>
        <w:pStyle w:val="Listenabsatz"/>
        <w:numPr>
          <w:ilvl w:val="0"/>
          <w:numId w:val="26"/>
        </w:numPr>
        <w:spacing w:after="120"/>
        <w:contextualSpacing w:val="0"/>
        <w:rPr>
          <w:lang w:val="en-GB"/>
        </w:rPr>
      </w:pPr>
      <w:r w:rsidRPr="004542C5">
        <w:rPr>
          <w:lang w:val="en-GB"/>
        </w:rPr>
        <w:t xml:space="preserve">In addition, in this </w:t>
      </w:r>
      <w:r w:rsidR="004E0A35">
        <w:rPr>
          <w:lang w:val="en-US"/>
        </w:rPr>
        <w:t>CCU</w:t>
      </w:r>
      <w:r w:rsidR="00B7346A">
        <w:rPr>
          <w:lang w:val="en-US"/>
        </w:rPr>
        <w:t xml:space="preserve"> </w:t>
      </w:r>
      <w:r w:rsidRPr="004542C5">
        <w:rPr>
          <w:lang w:val="en-GB"/>
        </w:rPr>
        <w:t>the following terms shall apply:</w:t>
      </w:r>
    </w:p>
    <w:p w14:paraId="018E3DDE" w14:textId="0416060E" w:rsidR="00AF6DA6" w:rsidRPr="00296E90" w:rsidRDefault="00AF6DA6" w:rsidP="00AF6DA6">
      <w:pPr>
        <w:pStyle w:val="Listenabsatz"/>
        <w:numPr>
          <w:ilvl w:val="1"/>
          <w:numId w:val="26"/>
        </w:numPr>
        <w:spacing w:after="120"/>
        <w:contextualSpacing w:val="0"/>
        <w:rPr>
          <w:lang w:val="en-GB"/>
        </w:rPr>
      </w:pPr>
      <w:r w:rsidRPr="00296E90">
        <w:rPr>
          <w:lang w:val="en-GB"/>
        </w:rPr>
        <w:t>'accounting data'</w:t>
      </w:r>
      <w:r w:rsidRPr="00296E90">
        <w:t xml:space="preserve"> is the result of an agreement between two TSOs concerning the physical energy exchanged over a physical line or considered via a virtual tie-line and is deri</w:t>
      </w:r>
      <w:r>
        <w:t>ved from validated metered data;</w:t>
      </w:r>
    </w:p>
    <w:p w14:paraId="26882884" w14:textId="42A0A640" w:rsidR="000509C8" w:rsidRPr="00AF6DA6" w:rsidRDefault="00AF6DA6" w:rsidP="00AF6DA6">
      <w:pPr>
        <w:pStyle w:val="Listenabsatz"/>
        <w:numPr>
          <w:ilvl w:val="1"/>
          <w:numId w:val="26"/>
        </w:numPr>
        <w:spacing w:after="120"/>
        <w:contextualSpacing w:val="0"/>
        <w:rPr>
          <w:lang w:val="en-GB"/>
        </w:rPr>
      </w:pPr>
      <w:r w:rsidRPr="00296E90">
        <w:rPr>
          <w:lang w:val="en-GB"/>
        </w:rPr>
        <w:t>‘CCFR’ refers to the ‘All continental European TSOs’ proposal for common settlement rules for intended exchanges of energy as a result of the frequency cont</w:t>
      </w:r>
      <w:r>
        <w:rPr>
          <w:lang w:val="en-GB"/>
        </w:rPr>
        <w:t>ainment process and ramping period in accordance with the Article 50(3) of Commission Regulation (EU) 2017/2195 of 23 November 2017 establishing a guideline on electricity balancing’;</w:t>
      </w:r>
    </w:p>
    <w:p w14:paraId="11E09592" w14:textId="2D1B47B8" w:rsidR="00B2722C" w:rsidRPr="00296E90" w:rsidRDefault="00B2722C" w:rsidP="00B2722C">
      <w:pPr>
        <w:pStyle w:val="Listenabsatz"/>
        <w:numPr>
          <w:ilvl w:val="1"/>
          <w:numId w:val="26"/>
        </w:numPr>
        <w:spacing w:after="120"/>
        <w:contextualSpacing w:val="0"/>
        <w:rPr>
          <w:lang w:val="en-GB"/>
        </w:rPr>
      </w:pPr>
      <w:r w:rsidRPr="00296E90">
        <w:rPr>
          <w:lang w:val="en-GB"/>
        </w:rPr>
        <w:t>'TSO-TSO settlement period' means</w:t>
      </w:r>
      <w:r w:rsidR="00437EF5" w:rsidRPr="00296E90">
        <w:rPr>
          <w:lang w:val="en-GB"/>
        </w:rPr>
        <w:t>, in the context of this CCU,</w:t>
      </w:r>
      <w:r w:rsidRPr="00296E90">
        <w:rPr>
          <w:lang w:val="en-GB"/>
        </w:rPr>
        <w:t xml:space="preserve"> the time unit for which unintended exchanges</w:t>
      </w:r>
      <w:r w:rsidR="002C2F40">
        <w:rPr>
          <w:lang w:val="en-GB"/>
        </w:rPr>
        <w:t xml:space="preserve"> of energy</w:t>
      </w:r>
      <w:r w:rsidRPr="00296E90">
        <w:rPr>
          <w:lang w:val="en-GB"/>
        </w:rPr>
        <w:t xml:space="preserve"> and intended exchanges of energy as a result of the frequency containment process and ramping period is calculated;</w:t>
      </w:r>
    </w:p>
    <w:p w14:paraId="4B69C393" w14:textId="555757E2" w:rsidR="00D960B0" w:rsidRPr="00A67448" w:rsidRDefault="00AF6DA6" w:rsidP="00C771E2">
      <w:pPr>
        <w:pStyle w:val="Listenabsatz"/>
        <w:numPr>
          <w:ilvl w:val="1"/>
          <w:numId w:val="26"/>
        </w:numPr>
        <w:spacing w:after="120"/>
        <w:contextualSpacing w:val="0"/>
        <w:rPr>
          <w:lang w:val="en-GB"/>
        </w:rPr>
      </w:pPr>
      <w:r w:rsidRPr="00296E90">
        <w:rPr>
          <w:lang w:val="en-GB"/>
        </w:rPr>
        <w:t>'unintended exchange</w:t>
      </w:r>
      <w:r>
        <w:rPr>
          <w:lang w:val="en-GB"/>
        </w:rPr>
        <w:t>s</w:t>
      </w:r>
      <w:r w:rsidRPr="00296E90">
        <w:rPr>
          <w:lang w:val="en-GB"/>
        </w:rPr>
        <w:t xml:space="preserve"> of energy' equals the integral of the area control error (ACE) according to Article 3 of the </w:t>
      </w:r>
      <w:r w:rsidR="007C701F">
        <w:rPr>
          <w:lang w:val="en-GB"/>
        </w:rPr>
        <w:t>SO Regulation</w:t>
      </w:r>
      <w:r w:rsidRPr="00296E90">
        <w:rPr>
          <w:lang w:val="en-GB"/>
        </w:rPr>
        <w:t xml:space="preserve"> over a TSO-TSO settlement period</w:t>
      </w:r>
      <w:r>
        <w:rPr>
          <w:lang w:val="en-GB"/>
        </w:rPr>
        <w:t>.</w:t>
      </w:r>
    </w:p>
    <w:p w14:paraId="6567A508" w14:textId="4A42EEF1" w:rsidR="006C447F" w:rsidRPr="006C447F" w:rsidRDefault="006C447F" w:rsidP="00C771E2">
      <w:pPr>
        <w:pStyle w:val="Listenabsatz"/>
        <w:numPr>
          <w:ilvl w:val="0"/>
          <w:numId w:val="26"/>
        </w:numPr>
        <w:spacing w:after="120"/>
        <w:contextualSpacing w:val="0"/>
        <w:rPr>
          <w:lang w:val="en-GB"/>
        </w:rPr>
      </w:pPr>
      <w:r w:rsidRPr="006C447F">
        <w:rPr>
          <w:lang w:val="en-GB"/>
        </w:rPr>
        <w:t xml:space="preserve">In this </w:t>
      </w:r>
      <w:r w:rsidR="00DE2FC2">
        <w:rPr>
          <w:lang w:val="en-US"/>
        </w:rPr>
        <w:t>CCU</w:t>
      </w:r>
      <w:r w:rsidRPr="006C447F">
        <w:rPr>
          <w:lang w:val="en-GB"/>
        </w:rPr>
        <w:t xml:space="preserve">, unless the context requires otherwise: </w:t>
      </w:r>
    </w:p>
    <w:p w14:paraId="470EAE16" w14:textId="249AACD7" w:rsidR="006C447F" w:rsidRPr="00296E90" w:rsidRDefault="00F90A5B" w:rsidP="00C771E2">
      <w:pPr>
        <w:pStyle w:val="Listenabsatz"/>
        <w:numPr>
          <w:ilvl w:val="1"/>
          <w:numId w:val="26"/>
        </w:numPr>
        <w:spacing w:after="120"/>
        <w:contextualSpacing w:val="0"/>
        <w:rPr>
          <w:lang w:val="en-GB"/>
        </w:rPr>
      </w:pPr>
      <w:r>
        <w:rPr>
          <w:lang w:val="en-GB"/>
        </w:rPr>
        <w:t xml:space="preserve">prices for </w:t>
      </w:r>
      <w:r w:rsidR="001B1396" w:rsidRPr="00296E90">
        <w:rPr>
          <w:lang w:val="en-GB"/>
        </w:rPr>
        <w:t>unintended exchange</w:t>
      </w:r>
      <w:r w:rsidR="009D1E3A" w:rsidRPr="00296E90">
        <w:rPr>
          <w:lang w:val="en-GB"/>
        </w:rPr>
        <w:t>s</w:t>
      </w:r>
      <w:r w:rsidRPr="00296E90">
        <w:rPr>
          <w:lang w:val="en-GB"/>
        </w:rPr>
        <w:t xml:space="preserve"> </w:t>
      </w:r>
      <w:r w:rsidR="00CC17D4">
        <w:rPr>
          <w:lang w:val="en-GB"/>
        </w:rPr>
        <w:t xml:space="preserve">of energy </w:t>
      </w:r>
      <w:r w:rsidRPr="00296E90">
        <w:rPr>
          <w:lang w:val="en-GB"/>
        </w:rPr>
        <w:t xml:space="preserve">are indicated in </w:t>
      </w:r>
      <w:r w:rsidR="009D1E3A" w:rsidRPr="00296E90">
        <w:rPr>
          <w:lang w:val="en-GB"/>
        </w:rPr>
        <w:t>EUR</w:t>
      </w:r>
      <w:r w:rsidRPr="00296E90">
        <w:rPr>
          <w:lang w:val="en-GB"/>
        </w:rPr>
        <w:t>/MWh</w:t>
      </w:r>
      <w:r w:rsidR="006C447F" w:rsidRPr="00296E90">
        <w:rPr>
          <w:lang w:val="en-GB"/>
        </w:rPr>
        <w:t>;</w:t>
      </w:r>
    </w:p>
    <w:p w14:paraId="4F740DDF" w14:textId="1DC2F672" w:rsidR="009F0DDF" w:rsidRPr="006C447F" w:rsidRDefault="007C123A" w:rsidP="00C771E2">
      <w:pPr>
        <w:pStyle w:val="Listenabsatz"/>
        <w:numPr>
          <w:ilvl w:val="0"/>
          <w:numId w:val="26"/>
        </w:numPr>
        <w:spacing w:after="120"/>
        <w:contextualSpacing w:val="0"/>
        <w:rPr>
          <w:lang w:val="en-GB"/>
        </w:rPr>
      </w:pPr>
      <w:r>
        <w:rPr>
          <w:lang w:val="en-GB"/>
        </w:rPr>
        <w:t>In addition</w:t>
      </w:r>
      <w:r w:rsidR="009F0DDF" w:rsidRPr="006C447F">
        <w:rPr>
          <w:lang w:val="en-GB"/>
        </w:rPr>
        <w:t xml:space="preserve">, unless the context requires otherwise: </w:t>
      </w:r>
    </w:p>
    <w:p w14:paraId="3244FB28" w14:textId="77777777" w:rsidR="009F0DDF" w:rsidRPr="006C447F" w:rsidRDefault="009F0DDF" w:rsidP="00C771E2">
      <w:pPr>
        <w:pStyle w:val="Listenabsatz"/>
        <w:numPr>
          <w:ilvl w:val="1"/>
          <w:numId w:val="26"/>
        </w:numPr>
        <w:spacing w:after="120"/>
        <w:contextualSpacing w:val="0"/>
        <w:rPr>
          <w:lang w:val="en-GB"/>
        </w:rPr>
      </w:pPr>
      <w:r w:rsidRPr="006C447F">
        <w:rPr>
          <w:lang w:val="en-GB"/>
        </w:rPr>
        <w:t>the singular indicates the plural and vice versa;</w:t>
      </w:r>
    </w:p>
    <w:p w14:paraId="33CB398F" w14:textId="0BA4D123" w:rsidR="009F0DDF" w:rsidRPr="006C447F" w:rsidRDefault="009F0DDF" w:rsidP="00C771E2">
      <w:pPr>
        <w:pStyle w:val="Listenabsatz"/>
        <w:numPr>
          <w:ilvl w:val="1"/>
          <w:numId w:val="26"/>
        </w:numPr>
        <w:spacing w:after="120"/>
        <w:contextualSpacing w:val="0"/>
        <w:rPr>
          <w:lang w:val="en-GB"/>
        </w:rPr>
      </w:pPr>
      <w:r w:rsidRPr="006C447F">
        <w:rPr>
          <w:lang w:val="en-GB"/>
        </w:rPr>
        <w:t xml:space="preserve">the table of contents and headings are inserted for convenience only and do not affect the interpretation of this </w:t>
      </w:r>
      <w:r w:rsidR="00150435">
        <w:rPr>
          <w:lang w:val="en-GB"/>
        </w:rPr>
        <w:t>CCU</w:t>
      </w:r>
      <w:r w:rsidRPr="006C447F">
        <w:rPr>
          <w:lang w:val="en-GB"/>
        </w:rPr>
        <w:t xml:space="preserve">; </w:t>
      </w:r>
    </w:p>
    <w:p w14:paraId="166BFA65" w14:textId="17004793" w:rsidR="009F0DDF" w:rsidRDefault="009F0DDF" w:rsidP="00C771E2">
      <w:pPr>
        <w:pStyle w:val="Listenabsatz"/>
        <w:numPr>
          <w:ilvl w:val="1"/>
          <w:numId w:val="26"/>
        </w:numPr>
        <w:spacing w:after="120"/>
        <w:contextualSpacing w:val="0"/>
        <w:rPr>
          <w:lang w:val="en-GB"/>
        </w:rPr>
      </w:pPr>
      <w:r w:rsidRPr="006C447F">
        <w:rPr>
          <w:lang w:val="en-GB"/>
        </w:rPr>
        <w:t xml:space="preserve">any reference to legislation, regulations, directive, order, instrument, code or any other enactment shall include any modification, extension or re-enactment of it then in force. </w:t>
      </w:r>
    </w:p>
    <w:p w14:paraId="54FB38CC" w14:textId="7FBDBF94" w:rsidR="00541937" w:rsidRDefault="00541937" w:rsidP="00541937">
      <w:pPr>
        <w:pStyle w:val="textregular"/>
        <w:numPr>
          <w:ilvl w:val="0"/>
          <w:numId w:val="26"/>
        </w:numPr>
        <w:jc w:val="both"/>
      </w:pPr>
      <w:r>
        <w:t>Se</w:t>
      </w:r>
      <w:r w:rsidR="004D0C82">
        <w:t xml:space="preserve">ttlement according to Article 3(9) </w:t>
      </w:r>
      <w:r>
        <w:t>of this CCU shall follow the sign convention in Table 1:</w:t>
      </w:r>
    </w:p>
    <w:p w14:paraId="44BED542" w14:textId="450D317A" w:rsidR="00541937" w:rsidRPr="00296E90" w:rsidRDefault="00541937" w:rsidP="00BE5580">
      <w:pPr>
        <w:pStyle w:val="Beschriftung"/>
        <w:keepNext/>
        <w:spacing w:before="240" w:after="120"/>
        <w:jc w:val="center"/>
        <w:rPr>
          <w:color w:val="auto"/>
        </w:rPr>
      </w:pPr>
      <w:r w:rsidRPr="00BE5580">
        <w:rPr>
          <w:color w:val="auto"/>
        </w:rPr>
        <w:t xml:space="preserve">Table </w:t>
      </w:r>
      <w:r w:rsidRPr="00BE5580">
        <w:rPr>
          <w:color w:val="auto"/>
        </w:rPr>
        <w:fldChar w:fldCharType="begin"/>
      </w:r>
      <w:r w:rsidRPr="00BE5580">
        <w:rPr>
          <w:color w:val="auto"/>
        </w:rPr>
        <w:instrText xml:space="preserve"> SEQ Tabel \* ARABIC </w:instrText>
      </w:r>
      <w:r w:rsidRPr="00BE5580">
        <w:rPr>
          <w:color w:val="auto"/>
        </w:rPr>
        <w:fldChar w:fldCharType="separate"/>
      </w:r>
      <w:r w:rsidR="00B64FD5">
        <w:rPr>
          <w:noProof/>
          <w:color w:val="auto"/>
        </w:rPr>
        <w:t>1</w:t>
      </w:r>
      <w:r w:rsidRPr="00BE5580">
        <w:rPr>
          <w:color w:val="auto"/>
        </w:rPr>
        <w:fldChar w:fldCharType="end"/>
      </w:r>
      <w:r w:rsidRPr="00BE5580">
        <w:rPr>
          <w:color w:val="auto"/>
        </w:rPr>
        <w:t xml:space="preserve"> </w:t>
      </w:r>
      <w:r w:rsidRPr="00296E90">
        <w:rPr>
          <w:color w:val="auto"/>
        </w:rPr>
        <w:t>Payment</w:t>
      </w:r>
      <w:r w:rsidR="004D5167" w:rsidRPr="00296E90">
        <w:rPr>
          <w:color w:val="auto"/>
        </w:rPr>
        <w:t xml:space="preserve"> direction</w:t>
      </w:r>
      <w:r w:rsidRPr="00296E90">
        <w:rPr>
          <w:color w:val="auto"/>
        </w:rPr>
        <w:t xml:space="preserve"> for TSO settlement</w:t>
      </w:r>
      <w:r w:rsidR="004D0C82">
        <w:rPr>
          <w:color w:val="auto"/>
        </w:rPr>
        <w:t xml:space="preserve"> </w:t>
      </w:r>
      <w:bookmarkStart w:id="29" w:name="_Hlk7465043"/>
      <w:r w:rsidR="004D0C82">
        <w:rPr>
          <w:color w:val="auto"/>
        </w:rPr>
        <w:t>pursuant to</w:t>
      </w:r>
      <w:r w:rsidRPr="00296E90">
        <w:rPr>
          <w:color w:val="auto"/>
        </w:rPr>
        <w:t xml:space="preserve"> </w:t>
      </w:r>
      <w:bookmarkEnd w:id="29"/>
      <w:r w:rsidRPr="00296E90">
        <w:rPr>
          <w:color w:val="auto"/>
        </w:rPr>
        <w:t>CCU</w:t>
      </w:r>
    </w:p>
    <w:tbl>
      <w:tblPr>
        <w:tblStyle w:val="Tabelraster1"/>
        <w:tblW w:w="0" w:type="auto"/>
        <w:tblInd w:w="421" w:type="dxa"/>
        <w:tblLook w:val="04A0" w:firstRow="1" w:lastRow="0" w:firstColumn="1" w:lastColumn="0" w:noHBand="0" w:noVBand="1"/>
      </w:tblPr>
      <w:tblGrid>
        <w:gridCol w:w="2664"/>
        <w:gridCol w:w="2864"/>
        <w:gridCol w:w="2977"/>
      </w:tblGrid>
      <w:tr w:rsidR="00541937" w:rsidRPr="00C0083F" w14:paraId="3BEB6353" w14:textId="77777777" w:rsidTr="00BE5580">
        <w:tc>
          <w:tcPr>
            <w:tcW w:w="2664" w:type="dxa"/>
            <w:tcBorders>
              <w:top w:val="nil"/>
              <w:left w:val="nil"/>
              <w:bottom w:val="single" w:sz="4" w:space="0" w:color="auto"/>
              <w:right w:val="single" w:sz="4" w:space="0" w:color="auto"/>
            </w:tcBorders>
            <w:vAlign w:val="center"/>
          </w:tcPr>
          <w:p w14:paraId="68081513" w14:textId="77777777" w:rsidR="00541937" w:rsidRPr="00296E90" w:rsidRDefault="00541937" w:rsidP="00BE5580">
            <w:pPr>
              <w:spacing w:before="60" w:after="60"/>
              <w:jc w:val="center"/>
            </w:pPr>
          </w:p>
        </w:tc>
        <w:tc>
          <w:tcPr>
            <w:tcW w:w="2864" w:type="dxa"/>
            <w:tcBorders>
              <w:top w:val="single" w:sz="4" w:space="0" w:color="auto"/>
              <w:left w:val="single" w:sz="4" w:space="0" w:color="auto"/>
              <w:bottom w:val="single" w:sz="4" w:space="0" w:color="auto"/>
              <w:right w:val="single" w:sz="4" w:space="0" w:color="auto"/>
            </w:tcBorders>
            <w:vAlign w:val="center"/>
            <w:hideMark/>
          </w:tcPr>
          <w:p w14:paraId="191D5A6A" w14:textId="3AA87B41" w:rsidR="00541937" w:rsidRPr="00296E90" w:rsidRDefault="00541937" w:rsidP="00BE5580">
            <w:pPr>
              <w:spacing w:before="60" w:after="60"/>
              <w:jc w:val="center"/>
            </w:pPr>
            <w:r w:rsidRPr="00296E90">
              <w:t xml:space="preserve">TSO-TSO </w:t>
            </w:r>
            <w:r w:rsidR="004D5167" w:rsidRPr="00296E90">
              <w:t>s</w:t>
            </w:r>
            <w:r w:rsidRPr="00296E90">
              <w:t>ettlement price</w:t>
            </w:r>
            <w:r w:rsidR="004D5167" w:rsidRPr="00296E90">
              <w:t>:</w:t>
            </w:r>
            <w:r w:rsidRPr="00296E90">
              <w:t xml:space="preserve"> positive</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6224630" w14:textId="6C8D38D0" w:rsidR="00541937" w:rsidRPr="00BE5580" w:rsidRDefault="00541937" w:rsidP="00BE5580">
            <w:pPr>
              <w:spacing w:before="60" w:after="60"/>
              <w:jc w:val="center"/>
            </w:pPr>
            <w:r w:rsidRPr="00296E90">
              <w:t xml:space="preserve">TSO-TSO </w:t>
            </w:r>
            <w:r w:rsidR="004D5167" w:rsidRPr="00296E90">
              <w:t>s</w:t>
            </w:r>
            <w:r w:rsidRPr="00296E90">
              <w:t>ettlement price</w:t>
            </w:r>
            <w:r w:rsidR="004D5167" w:rsidRPr="00296E90">
              <w:t>:</w:t>
            </w:r>
            <w:r w:rsidRPr="00296E90">
              <w:t xml:space="preserve"> negative</w:t>
            </w:r>
          </w:p>
        </w:tc>
      </w:tr>
      <w:tr w:rsidR="00541937" w14:paraId="27A7638C" w14:textId="77777777" w:rsidTr="00BE5580">
        <w:tc>
          <w:tcPr>
            <w:tcW w:w="2664" w:type="dxa"/>
            <w:tcBorders>
              <w:top w:val="single" w:sz="4" w:space="0" w:color="auto"/>
              <w:left w:val="single" w:sz="4" w:space="0" w:color="auto"/>
              <w:bottom w:val="single" w:sz="4" w:space="0" w:color="auto"/>
              <w:right w:val="single" w:sz="4" w:space="0" w:color="auto"/>
            </w:tcBorders>
            <w:vAlign w:val="center"/>
            <w:hideMark/>
          </w:tcPr>
          <w:p w14:paraId="504E305B" w14:textId="08715016" w:rsidR="00541937" w:rsidRPr="00BE5580" w:rsidRDefault="00541937" w:rsidP="00BE5580">
            <w:pPr>
              <w:spacing w:before="60" w:after="60"/>
            </w:pPr>
            <w:r w:rsidRPr="00BE5580">
              <w:t>TSO settlement volume</w:t>
            </w:r>
            <w:r w:rsidR="004D5167">
              <w:t>:</w:t>
            </w:r>
            <w:r w:rsidRPr="00BE5580">
              <w:t xml:space="preserve"> positive (TSO exports)</w:t>
            </w:r>
          </w:p>
        </w:tc>
        <w:tc>
          <w:tcPr>
            <w:tcW w:w="2864" w:type="dxa"/>
            <w:tcBorders>
              <w:top w:val="single" w:sz="4" w:space="0" w:color="auto"/>
              <w:left w:val="single" w:sz="4" w:space="0" w:color="auto"/>
              <w:bottom w:val="single" w:sz="4" w:space="0" w:color="auto"/>
              <w:right w:val="single" w:sz="4" w:space="0" w:color="auto"/>
            </w:tcBorders>
            <w:vAlign w:val="center"/>
            <w:hideMark/>
          </w:tcPr>
          <w:p w14:paraId="62A1FEA7" w14:textId="6A7A8D7F" w:rsidR="00541937" w:rsidRPr="00BE5580" w:rsidRDefault="00541937" w:rsidP="00BE5580">
            <w:pPr>
              <w:spacing w:before="60" w:after="60"/>
              <w:jc w:val="center"/>
            </w:pPr>
            <w:r w:rsidRPr="00BE5580">
              <w:t>Payment to TSO</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BB34693" w14:textId="77777777" w:rsidR="00541937" w:rsidRPr="00BE5580" w:rsidRDefault="00541937" w:rsidP="00BE5580">
            <w:pPr>
              <w:spacing w:before="60" w:after="60"/>
              <w:jc w:val="center"/>
            </w:pPr>
            <w:r w:rsidRPr="00BE5580">
              <w:t>Payment from TSO</w:t>
            </w:r>
          </w:p>
        </w:tc>
      </w:tr>
      <w:tr w:rsidR="00541937" w14:paraId="326A8FB8" w14:textId="77777777" w:rsidTr="00BE5580">
        <w:tc>
          <w:tcPr>
            <w:tcW w:w="2664" w:type="dxa"/>
            <w:tcBorders>
              <w:top w:val="single" w:sz="4" w:space="0" w:color="auto"/>
              <w:left w:val="single" w:sz="4" w:space="0" w:color="auto"/>
              <w:bottom w:val="single" w:sz="4" w:space="0" w:color="auto"/>
              <w:right w:val="single" w:sz="4" w:space="0" w:color="auto"/>
            </w:tcBorders>
            <w:vAlign w:val="center"/>
            <w:hideMark/>
          </w:tcPr>
          <w:p w14:paraId="5BA2CC4C" w14:textId="082B6F22" w:rsidR="00541937" w:rsidRPr="00BE5580" w:rsidRDefault="00541937" w:rsidP="00BE5580">
            <w:pPr>
              <w:spacing w:before="60" w:after="60"/>
            </w:pPr>
            <w:r w:rsidRPr="00BE5580">
              <w:t>TSO settlement volume</w:t>
            </w:r>
            <w:r w:rsidR="004D5167">
              <w:t>:</w:t>
            </w:r>
            <w:r w:rsidRPr="00BE5580">
              <w:t xml:space="preserve"> negative (TSO imports)</w:t>
            </w:r>
          </w:p>
        </w:tc>
        <w:tc>
          <w:tcPr>
            <w:tcW w:w="2864" w:type="dxa"/>
            <w:tcBorders>
              <w:top w:val="single" w:sz="4" w:space="0" w:color="auto"/>
              <w:left w:val="single" w:sz="4" w:space="0" w:color="auto"/>
              <w:bottom w:val="single" w:sz="4" w:space="0" w:color="auto"/>
              <w:right w:val="single" w:sz="4" w:space="0" w:color="auto"/>
            </w:tcBorders>
            <w:vAlign w:val="center"/>
            <w:hideMark/>
          </w:tcPr>
          <w:p w14:paraId="0F8462AB" w14:textId="77777777" w:rsidR="00541937" w:rsidRPr="00BE5580" w:rsidRDefault="00541937" w:rsidP="00BE5580">
            <w:pPr>
              <w:spacing w:before="60" w:after="60"/>
              <w:jc w:val="center"/>
            </w:pPr>
            <w:r w:rsidRPr="00BE5580">
              <w:t>Payment from TSO</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4C9F28A" w14:textId="77777777" w:rsidR="00541937" w:rsidRPr="00BE5580" w:rsidRDefault="00541937" w:rsidP="00BE5580">
            <w:pPr>
              <w:spacing w:before="60" w:after="60"/>
              <w:jc w:val="center"/>
            </w:pPr>
            <w:r w:rsidRPr="00BE5580">
              <w:t>Payment to TSO</w:t>
            </w:r>
          </w:p>
        </w:tc>
      </w:tr>
    </w:tbl>
    <w:p w14:paraId="00C69851" w14:textId="77777777" w:rsidR="00541937" w:rsidRPr="00541937" w:rsidRDefault="00541937" w:rsidP="00BE5580">
      <w:pPr>
        <w:spacing w:after="120"/>
        <w:ind w:left="720"/>
      </w:pPr>
    </w:p>
    <w:p w14:paraId="4D75BD1D" w14:textId="63AA3FF6" w:rsidR="00FA0D5C" w:rsidRDefault="00FA0D5C">
      <w:pPr>
        <w:rPr>
          <w:rFonts w:ascii="Times New Roman" w:hAnsi="Times New Roman" w:cstheme="majorHAnsi"/>
          <w:b/>
          <w:color w:val="23236E" w:themeColor="text2"/>
          <w:sz w:val="24"/>
          <w:szCs w:val="24"/>
        </w:rPr>
      </w:pPr>
      <w:bookmarkStart w:id="30" w:name="_Toc432586772"/>
      <w:bookmarkStart w:id="31" w:name="_Toc432586792"/>
    </w:p>
    <w:p w14:paraId="71778B62" w14:textId="3234A022" w:rsidR="0001595A" w:rsidRDefault="0001595A" w:rsidP="00E17CBF">
      <w:pPr>
        <w:pStyle w:val="headline2"/>
      </w:pPr>
      <w:bookmarkStart w:id="32" w:name="_Toc509993361"/>
      <w:bookmarkStart w:id="33" w:name="_Toc510006481"/>
      <w:bookmarkStart w:id="34" w:name="_Toc510507373"/>
      <w:bookmarkStart w:id="35" w:name="_Toc510522100"/>
      <w:bookmarkStart w:id="36" w:name="_Toc32931249"/>
      <w:r>
        <w:t>Article 3</w:t>
      </w:r>
      <w:r w:rsidR="00C50383" w:rsidRPr="00992ABA">
        <w:br/>
      </w:r>
      <w:r>
        <w:t>High</w:t>
      </w:r>
      <w:r w:rsidR="002E2B7A">
        <w:t>-</w:t>
      </w:r>
      <w:r>
        <w:t xml:space="preserve">level design of </w:t>
      </w:r>
      <w:r w:rsidR="002F5F3A">
        <w:t>the common settlement</w:t>
      </w:r>
      <w:bookmarkEnd w:id="32"/>
      <w:bookmarkEnd w:id="33"/>
      <w:bookmarkEnd w:id="34"/>
      <w:bookmarkEnd w:id="35"/>
      <w:bookmarkEnd w:id="36"/>
    </w:p>
    <w:p w14:paraId="58BE954A" w14:textId="04BC635D" w:rsidR="000E498C" w:rsidRDefault="00296E90" w:rsidP="00C771E2">
      <w:pPr>
        <w:pStyle w:val="textregular"/>
        <w:numPr>
          <w:ilvl w:val="0"/>
          <w:numId w:val="14"/>
        </w:numPr>
        <w:jc w:val="both"/>
      </w:pPr>
      <w:bookmarkStart w:id="37" w:name="_Hlk7465242"/>
      <w:bookmarkStart w:id="38" w:name="_Hlk7206313"/>
      <w:r>
        <w:t>The</w:t>
      </w:r>
      <w:r w:rsidRPr="00296E90">
        <w:t xml:space="preserve"> </w:t>
      </w:r>
      <w:r>
        <w:t xml:space="preserve">common settlement performed by SA </w:t>
      </w:r>
      <w:r w:rsidR="004A7B1B">
        <w:t xml:space="preserve">CE TSOs in accordance with </w:t>
      </w:r>
      <w:bookmarkEnd w:id="37"/>
      <w:r w:rsidR="004A7B1B">
        <w:t>this</w:t>
      </w:r>
      <w:r w:rsidR="000E498C" w:rsidRPr="00296E90">
        <w:t xml:space="preserve"> </w:t>
      </w:r>
      <w:r w:rsidR="000372F9" w:rsidRPr="00296E90">
        <w:t xml:space="preserve">CCU </w:t>
      </w:r>
      <w:r>
        <w:t xml:space="preserve">shall consist of the </w:t>
      </w:r>
      <w:r w:rsidR="003A3692">
        <w:t xml:space="preserve">CCU </w:t>
      </w:r>
      <w:r w:rsidR="000E498C" w:rsidRPr="00296E90">
        <w:t>accounting</w:t>
      </w:r>
      <w:r w:rsidR="00122A27" w:rsidRPr="00296E90">
        <w:t xml:space="preserve"> function</w:t>
      </w:r>
      <w:r w:rsidR="000E498C" w:rsidRPr="00296E90">
        <w:t>,</w:t>
      </w:r>
      <w:r>
        <w:t xml:space="preserve"> the</w:t>
      </w:r>
      <w:r w:rsidR="000E498C" w:rsidRPr="00296E90">
        <w:t xml:space="preserve"> </w:t>
      </w:r>
      <w:r w:rsidR="005E500D" w:rsidRPr="00296E90">
        <w:t xml:space="preserve">CCU </w:t>
      </w:r>
      <w:r w:rsidR="000E498C" w:rsidRPr="00296E90">
        <w:t xml:space="preserve">settlement </w:t>
      </w:r>
      <w:r w:rsidR="00122A27" w:rsidRPr="00296E90">
        <w:t xml:space="preserve">function </w:t>
      </w:r>
      <w:r w:rsidR="000E498C" w:rsidRPr="00296E90">
        <w:t xml:space="preserve">and </w:t>
      </w:r>
      <w:r>
        <w:t xml:space="preserve">the </w:t>
      </w:r>
      <w:r w:rsidR="000E498C" w:rsidRPr="00296E90">
        <w:t>invoicing</w:t>
      </w:r>
      <w:r w:rsidR="00122A27" w:rsidRPr="00296E90">
        <w:t xml:space="preserve"> </w:t>
      </w:r>
      <w:r w:rsidR="00A24148" w:rsidRPr="00296E90">
        <w:t>task</w:t>
      </w:r>
      <w:r w:rsidR="00674401">
        <w:t>.</w:t>
      </w:r>
      <w:r w:rsidR="000E498C">
        <w:t xml:space="preserve"> </w:t>
      </w:r>
    </w:p>
    <w:bookmarkEnd w:id="38"/>
    <w:p w14:paraId="46DFB838" w14:textId="3CF3B5DD" w:rsidR="00C0508A" w:rsidRDefault="00C0508A" w:rsidP="00C0508A">
      <w:pPr>
        <w:pStyle w:val="textregular"/>
        <w:numPr>
          <w:ilvl w:val="0"/>
          <w:numId w:val="14"/>
        </w:numPr>
        <w:jc w:val="both"/>
      </w:pPr>
      <w:r>
        <w:t>The entity or entities entrusted with the CC</w:t>
      </w:r>
      <w:r w:rsidR="00B64FD5">
        <w:t>U</w:t>
      </w:r>
      <w:r>
        <w:t xml:space="preserve"> accounting function, the CC</w:t>
      </w:r>
      <w:r w:rsidR="00B64FD5">
        <w:t>U</w:t>
      </w:r>
      <w:r>
        <w:t xml:space="preserve"> settlement function and the invoicing tasks are designated by all</w:t>
      </w:r>
      <w:r w:rsidR="00891161">
        <w:t xml:space="preserve"> SA</w:t>
      </w:r>
      <w:r>
        <w:t xml:space="preserve"> CE TSOs in the framework of the SAFA.</w:t>
      </w:r>
    </w:p>
    <w:p w14:paraId="5659C2A1" w14:textId="326424AC" w:rsidR="007D6E4F" w:rsidRDefault="00F41C29" w:rsidP="00BE5580">
      <w:pPr>
        <w:pStyle w:val="textregular"/>
        <w:numPr>
          <w:ilvl w:val="0"/>
          <w:numId w:val="14"/>
        </w:numPr>
        <w:jc w:val="both"/>
      </w:pPr>
      <w:r>
        <w:t>The entity</w:t>
      </w:r>
      <w:r w:rsidR="005A035C">
        <w:t xml:space="preserve"> or entities</w:t>
      </w:r>
      <w:r>
        <w:t xml:space="preserve"> entrusted with the </w:t>
      </w:r>
      <w:r w:rsidR="000372F9">
        <w:t xml:space="preserve">CCU </w:t>
      </w:r>
      <w:r>
        <w:t>accounting function shall</w:t>
      </w:r>
      <w:r w:rsidR="00B04DC7">
        <w:t xml:space="preserve"> </w:t>
      </w:r>
      <w:r w:rsidR="00FC2F52">
        <w:t xml:space="preserve">collect </w:t>
      </w:r>
      <w:r w:rsidR="00AE3C67">
        <w:t xml:space="preserve">all </w:t>
      </w:r>
      <w:r w:rsidR="00FC2F52">
        <w:t xml:space="preserve">the data required to calculate the values of </w:t>
      </w:r>
      <w:r w:rsidR="00827E3B">
        <w:t xml:space="preserve">unintended exchange </w:t>
      </w:r>
      <w:r w:rsidR="00FC2F52">
        <w:t>over each TSO-TSO settlement period</w:t>
      </w:r>
      <w:r w:rsidR="007D6E4F">
        <w:t>.</w:t>
      </w:r>
    </w:p>
    <w:p w14:paraId="4A6BC4C2" w14:textId="77777777" w:rsidR="007D6E4F" w:rsidRDefault="007D6E4F" w:rsidP="00BE5580">
      <w:pPr>
        <w:pStyle w:val="textregular"/>
        <w:numPr>
          <w:ilvl w:val="0"/>
          <w:numId w:val="14"/>
        </w:numPr>
        <w:jc w:val="both"/>
      </w:pPr>
      <w:r w:rsidRPr="00431908">
        <w:t xml:space="preserve">The input to the </w:t>
      </w:r>
      <w:r>
        <w:t xml:space="preserve">CCU </w:t>
      </w:r>
      <w:r w:rsidRPr="00431908">
        <w:t>accounting function shall be</w:t>
      </w:r>
      <w:r>
        <w:t>:</w:t>
      </w:r>
    </w:p>
    <w:p w14:paraId="4FACA60D" w14:textId="77777777" w:rsidR="007D6E4F" w:rsidRPr="00296E90" w:rsidRDefault="007D6E4F" w:rsidP="00BE5580">
      <w:pPr>
        <w:pStyle w:val="textregular"/>
        <w:numPr>
          <w:ilvl w:val="1"/>
          <w:numId w:val="14"/>
        </w:numPr>
        <w:jc w:val="both"/>
      </w:pPr>
      <w:r>
        <w:t xml:space="preserve">the </w:t>
      </w:r>
      <w:r w:rsidRPr="00296E90">
        <w:t>accounting data per TSO-TSO settlement period and per LFC area of SA CE, including exchanges of energy accounted through a virtual tie-line;</w:t>
      </w:r>
    </w:p>
    <w:p w14:paraId="5A88A333" w14:textId="77777777" w:rsidR="007D6E4F" w:rsidRPr="00296E90" w:rsidRDefault="007D6E4F" w:rsidP="00BE5580">
      <w:pPr>
        <w:pStyle w:val="textregular"/>
        <w:numPr>
          <w:ilvl w:val="1"/>
          <w:numId w:val="14"/>
        </w:numPr>
        <w:jc w:val="both"/>
      </w:pPr>
      <w:r w:rsidRPr="00296E90">
        <w:t>all aggregated netted external schedules (ANES) within SA CE;</w:t>
      </w:r>
    </w:p>
    <w:p w14:paraId="71620C34" w14:textId="6C94C363" w:rsidR="007D6E4F" w:rsidRPr="00296E90" w:rsidRDefault="007D6E4F" w:rsidP="00BE5580">
      <w:pPr>
        <w:pStyle w:val="textregular"/>
        <w:numPr>
          <w:ilvl w:val="1"/>
          <w:numId w:val="14"/>
        </w:numPr>
        <w:jc w:val="both"/>
      </w:pPr>
      <w:r w:rsidRPr="00296E90">
        <w:t xml:space="preserve">the volumes of intended exchanges of energy as a result of the frequency containment process and ramping period pursuant Article 50(3) of the </w:t>
      </w:r>
      <w:r w:rsidR="007C701F">
        <w:t>EB Regulation</w:t>
      </w:r>
      <w:r w:rsidRPr="00296E90">
        <w:t>.</w:t>
      </w:r>
    </w:p>
    <w:p w14:paraId="3B03D5F2" w14:textId="71835693" w:rsidR="00FC2F52" w:rsidRDefault="007D6E4F" w:rsidP="00BE5580">
      <w:pPr>
        <w:pStyle w:val="textregular"/>
        <w:keepNext/>
        <w:keepLines/>
        <w:numPr>
          <w:ilvl w:val="0"/>
          <w:numId w:val="14"/>
        </w:numPr>
        <w:jc w:val="both"/>
      </w:pPr>
      <w:r w:rsidRPr="00296E90">
        <w:t>The output of the CCU accounting function shall be the volume of unintended exchanges of energy</w:t>
      </w:r>
      <w:r>
        <w:t xml:space="preserve"> for each TSO-TSO settlement period within SA CE.</w:t>
      </w:r>
      <w:r w:rsidR="008D6AFD">
        <w:t xml:space="preserve"> The unintended exchange of energy is determined per LFC area or LFC block with respect to the rest of the SA CE.</w:t>
      </w:r>
    </w:p>
    <w:p w14:paraId="6D5D19C4" w14:textId="0C27943C" w:rsidR="009D4784" w:rsidRDefault="00FC2F52" w:rsidP="009D4784">
      <w:pPr>
        <w:pStyle w:val="textregular"/>
        <w:numPr>
          <w:ilvl w:val="0"/>
          <w:numId w:val="14"/>
        </w:numPr>
        <w:jc w:val="both"/>
      </w:pPr>
      <w:r>
        <w:t xml:space="preserve">The entity </w:t>
      </w:r>
      <w:r w:rsidR="005A035C">
        <w:t xml:space="preserve">or entities </w:t>
      </w:r>
      <w:r w:rsidR="0029650F">
        <w:t>entrusted with</w:t>
      </w:r>
      <w:r>
        <w:t xml:space="preserve"> the </w:t>
      </w:r>
      <w:r w:rsidR="004A3529">
        <w:t xml:space="preserve">CCU </w:t>
      </w:r>
      <w:r>
        <w:t xml:space="preserve">settlement function shall </w:t>
      </w:r>
      <w:r w:rsidR="00541937">
        <w:t xml:space="preserve">collect all the data required to calculate a price of unintended exchange over each TSO-TSO settlement period and </w:t>
      </w:r>
      <w:r>
        <w:t>calculate</w:t>
      </w:r>
      <w:r w:rsidR="000107FF">
        <w:t>,</w:t>
      </w:r>
      <w:r>
        <w:t xml:space="preserve"> for each LFC </w:t>
      </w:r>
      <w:r w:rsidR="00391C2A">
        <w:t>b</w:t>
      </w:r>
      <w:r>
        <w:t xml:space="preserve">lock or LFC </w:t>
      </w:r>
      <w:r w:rsidR="00391C2A">
        <w:t>a</w:t>
      </w:r>
      <w:r>
        <w:t>rea</w:t>
      </w:r>
      <w:r w:rsidR="000107FF">
        <w:t>,</w:t>
      </w:r>
      <w:r>
        <w:t xml:space="preserve"> the financial result and </w:t>
      </w:r>
      <w:r>
        <w:rPr>
          <w:rFonts w:cstheme="minorHAnsi"/>
        </w:rPr>
        <w:t>financial flows.</w:t>
      </w:r>
      <w:r w:rsidR="0029650F">
        <w:rPr>
          <w:rFonts w:cstheme="minorHAnsi"/>
        </w:rPr>
        <w:t xml:space="preserve"> </w:t>
      </w:r>
    </w:p>
    <w:p w14:paraId="756DB5E9" w14:textId="77777777" w:rsidR="009D4784" w:rsidRDefault="00197A66" w:rsidP="009D4784">
      <w:pPr>
        <w:pStyle w:val="textregular"/>
        <w:numPr>
          <w:ilvl w:val="0"/>
          <w:numId w:val="14"/>
        </w:numPr>
        <w:jc w:val="both"/>
      </w:pPr>
      <w:r w:rsidRPr="00431908">
        <w:t xml:space="preserve">The input to the </w:t>
      </w:r>
      <w:r>
        <w:t xml:space="preserve">CCU </w:t>
      </w:r>
      <w:r w:rsidRPr="00431908">
        <w:t>settlement function shall be:</w:t>
      </w:r>
    </w:p>
    <w:p w14:paraId="1E63A95E" w14:textId="77777777" w:rsidR="003A3692" w:rsidRDefault="00197A66" w:rsidP="009D4784">
      <w:pPr>
        <w:pStyle w:val="textregular"/>
        <w:numPr>
          <w:ilvl w:val="1"/>
          <w:numId w:val="14"/>
        </w:numPr>
        <w:jc w:val="both"/>
      </w:pPr>
      <w:r w:rsidRPr="00431908">
        <w:t>the volume</w:t>
      </w:r>
      <w:r>
        <w:t>s</w:t>
      </w:r>
      <w:r w:rsidRPr="00431908">
        <w:t xml:space="preserve"> of </w:t>
      </w:r>
      <w:r>
        <w:t xml:space="preserve">intended exchange of energy as a result of the frequency containment process and ramping period </w:t>
      </w:r>
      <w:r w:rsidRPr="00431908">
        <w:t xml:space="preserve">in accordance with Article </w:t>
      </w:r>
      <w:r>
        <w:t>7</w:t>
      </w:r>
      <w:r w:rsidRPr="00431908">
        <w:t xml:space="preserve"> of </w:t>
      </w:r>
      <w:r>
        <w:t>the CCFR</w:t>
      </w:r>
      <w:r w:rsidRPr="00431908">
        <w:t xml:space="preserve"> </w:t>
      </w:r>
    </w:p>
    <w:p w14:paraId="286C903A" w14:textId="3954744B" w:rsidR="009D4784" w:rsidRDefault="003A3692" w:rsidP="009D4784">
      <w:pPr>
        <w:pStyle w:val="textregular"/>
        <w:numPr>
          <w:ilvl w:val="1"/>
          <w:numId w:val="14"/>
        </w:numPr>
        <w:jc w:val="both"/>
      </w:pPr>
      <w:r>
        <w:t xml:space="preserve">The volume of </w:t>
      </w:r>
      <w:r w:rsidR="00197A66" w:rsidRPr="00431908">
        <w:t xml:space="preserve">unintended exchange </w:t>
      </w:r>
      <w:r w:rsidR="00197A66">
        <w:t xml:space="preserve">of energy </w:t>
      </w:r>
      <w:r w:rsidR="00197A66" w:rsidRPr="00431908">
        <w:t>in accordance with Article 7 of this CCU;</w:t>
      </w:r>
    </w:p>
    <w:p w14:paraId="1977A1BD" w14:textId="77777777" w:rsidR="009D4784" w:rsidRDefault="00197A66" w:rsidP="009D4784">
      <w:pPr>
        <w:pStyle w:val="textregular"/>
        <w:numPr>
          <w:ilvl w:val="1"/>
          <w:numId w:val="14"/>
        </w:numPr>
        <w:jc w:val="both"/>
      </w:pPr>
      <w:r w:rsidRPr="00431908">
        <w:t xml:space="preserve">the day-ahead market price of each </w:t>
      </w:r>
      <w:r w:rsidRPr="00296E90">
        <w:t>LFC block</w:t>
      </w:r>
      <w:r w:rsidRPr="00431908">
        <w:t xml:space="preserve"> in </w:t>
      </w:r>
      <w:r>
        <w:t>SA CE,</w:t>
      </w:r>
      <w:r w:rsidRPr="00431908">
        <w:t xml:space="preserve"> in accordance with Article 8(1)(a) of this CCU;</w:t>
      </w:r>
    </w:p>
    <w:p w14:paraId="51EF17CA" w14:textId="77777777" w:rsidR="009D4784" w:rsidRDefault="00197A66" w:rsidP="009D4784">
      <w:pPr>
        <w:pStyle w:val="textregular"/>
        <w:numPr>
          <w:ilvl w:val="1"/>
          <w:numId w:val="14"/>
        </w:numPr>
        <w:jc w:val="both"/>
      </w:pPr>
      <w:r>
        <w:t>the average frequency deviation over each TSO-TSO settlement period of SA CE</w:t>
      </w:r>
      <w:r w:rsidRPr="00CA22CF">
        <w:t xml:space="preserve"> </w:t>
      </w:r>
      <w:r w:rsidRPr="00F6416B">
        <w:t>which shall be determined by a designated TSO</w:t>
      </w:r>
      <w:r>
        <w:t>.</w:t>
      </w:r>
    </w:p>
    <w:p w14:paraId="490E0FF2" w14:textId="15A17611" w:rsidR="00197A66" w:rsidRDefault="003A3692" w:rsidP="009D4784">
      <w:pPr>
        <w:pStyle w:val="textregular"/>
        <w:keepNext/>
        <w:numPr>
          <w:ilvl w:val="0"/>
          <w:numId w:val="14"/>
        </w:numPr>
        <w:ind w:left="357" w:hanging="357"/>
        <w:jc w:val="both"/>
      </w:pPr>
      <w:r w:rsidRPr="005F774A">
        <w:t>The CCFR settlement function shall calculate</w:t>
      </w:r>
      <w:r>
        <w:t xml:space="preserve"> or provide</w:t>
      </w:r>
      <w:r w:rsidRPr="005F774A">
        <w:t xml:space="preserve"> the following outputs</w:t>
      </w:r>
      <w:r w:rsidR="00197A66">
        <w:t>:</w:t>
      </w:r>
    </w:p>
    <w:p w14:paraId="4DCD1476" w14:textId="77777777" w:rsidR="00197A66" w:rsidRDefault="00197A66" w:rsidP="00BE5580">
      <w:pPr>
        <w:pStyle w:val="textregular"/>
        <w:keepNext/>
        <w:keepLines/>
        <w:numPr>
          <w:ilvl w:val="1"/>
          <w:numId w:val="14"/>
        </w:numPr>
        <w:jc w:val="both"/>
      </w:pPr>
      <w:r>
        <w:t xml:space="preserve">the price for </w:t>
      </w:r>
      <w:r w:rsidRPr="00494CDE">
        <w:rPr>
          <w:rFonts w:cstheme="minorHAnsi"/>
        </w:rPr>
        <w:t>the unintende</w:t>
      </w:r>
      <w:r w:rsidRPr="007C1433">
        <w:rPr>
          <w:rFonts w:cstheme="minorHAnsi"/>
        </w:rPr>
        <w:t xml:space="preserve">d exchanges of energy </w:t>
      </w:r>
      <w:r w:rsidRPr="00EF28AD">
        <w:rPr>
          <w:rFonts w:cstheme="minorHAnsi"/>
        </w:rPr>
        <w:t>for each TSO-TSO settlement period.</w:t>
      </w:r>
    </w:p>
    <w:p w14:paraId="7877D380" w14:textId="54F81F14" w:rsidR="00197A66" w:rsidRPr="00A24148" w:rsidRDefault="00197A66" w:rsidP="00BE5580">
      <w:pPr>
        <w:pStyle w:val="textregular"/>
        <w:keepNext/>
        <w:keepLines/>
        <w:numPr>
          <w:ilvl w:val="1"/>
          <w:numId w:val="14"/>
        </w:numPr>
        <w:jc w:val="both"/>
      </w:pPr>
      <w:r w:rsidRPr="00DB2C02">
        <w:t>the</w:t>
      </w:r>
      <w:r w:rsidRPr="00494CDE">
        <w:rPr>
          <w:rFonts w:cstheme="minorHAnsi"/>
        </w:rPr>
        <w:t xml:space="preserve"> financial flows between all LFC blocks or LFC areas in SA CE  as a result of unintended exchanges of energy for each TSO-TSO settlement period.</w:t>
      </w:r>
    </w:p>
    <w:p w14:paraId="3AB064FE" w14:textId="711C0B8B" w:rsidR="00112320" w:rsidRDefault="00112320" w:rsidP="00C771E2">
      <w:pPr>
        <w:pStyle w:val="textregular"/>
        <w:numPr>
          <w:ilvl w:val="0"/>
          <w:numId w:val="14"/>
        </w:numPr>
        <w:jc w:val="both"/>
      </w:pPr>
      <w:r>
        <w:t>All volumes of unintended exchange calculated for each LFC block or LFC area for each TSO-TSO settlement period</w:t>
      </w:r>
      <w:r w:rsidR="00467B32">
        <w:t>,</w:t>
      </w:r>
      <w:r>
        <w:t xml:space="preserve"> in accordance with Article 7 of this CCU</w:t>
      </w:r>
      <w:r w:rsidR="00467B32">
        <w:t>,</w:t>
      </w:r>
      <w:r>
        <w:t xml:space="preserve"> shall be settled at the same price, calculated for that TSO-TSO settlement period in accordance with Articles 8(1) and 8(2) of this CCU.</w:t>
      </w:r>
    </w:p>
    <w:p w14:paraId="2AB2465C" w14:textId="6D27AE44" w:rsidR="00926710" w:rsidRDefault="00FD6641" w:rsidP="00D146C7">
      <w:pPr>
        <w:pStyle w:val="textregular"/>
        <w:numPr>
          <w:ilvl w:val="0"/>
          <w:numId w:val="14"/>
        </w:numPr>
        <w:ind w:left="284" w:hanging="426"/>
        <w:jc w:val="both"/>
      </w:pPr>
      <w:r w:rsidRPr="00FD6641">
        <w:t>The settlement shall be done on LFC area level unless</w:t>
      </w:r>
      <w:r w:rsidR="00926710">
        <w:t>:</w:t>
      </w:r>
    </w:p>
    <w:p w14:paraId="3E19C1D1" w14:textId="6F84E566" w:rsidR="00926710" w:rsidRPr="00296E90" w:rsidRDefault="00FD6641" w:rsidP="00926710">
      <w:pPr>
        <w:pStyle w:val="textregular"/>
        <w:numPr>
          <w:ilvl w:val="0"/>
          <w:numId w:val="40"/>
        </w:numPr>
        <w:jc w:val="both"/>
      </w:pPr>
      <w:r w:rsidRPr="00FD6641">
        <w:t xml:space="preserve">all TSOs of a single LFC block agree on </w:t>
      </w:r>
      <w:r w:rsidRPr="00431908">
        <w:t xml:space="preserve">settlement </w:t>
      </w:r>
      <w:r w:rsidRPr="00296E90">
        <w:t>on LFC block</w:t>
      </w:r>
      <w:r w:rsidR="003861A2" w:rsidRPr="00296E90">
        <w:t xml:space="preserve"> </w:t>
      </w:r>
      <w:r w:rsidRPr="00296E90">
        <w:t>level</w:t>
      </w:r>
      <w:r w:rsidR="00926710" w:rsidRPr="00296E90">
        <w:t>;</w:t>
      </w:r>
      <w:r w:rsidR="00CD130E" w:rsidRPr="00296E90">
        <w:t xml:space="preserve"> or</w:t>
      </w:r>
    </w:p>
    <w:p w14:paraId="4B8E1D46" w14:textId="265546FD" w:rsidR="007C0E29" w:rsidRPr="00296E90" w:rsidRDefault="00926710" w:rsidP="00BE5580">
      <w:pPr>
        <w:pStyle w:val="textregular"/>
        <w:numPr>
          <w:ilvl w:val="0"/>
          <w:numId w:val="40"/>
        </w:numPr>
        <w:jc w:val="both"/>
      </w:pPr>
      <w:r w:rsidRPr="00296E90">
        <w:t>some TSOs of a single LFC block agree on a common settlement of their LFC areas</w:t>
      </w:r>
      <w:r w:rsidR="00FD6641" w:rsidRPr="00296E90">
        <w:t xml:space="preserve">. </w:t>
      </w:r>
    </w:p>
    <w:p w14:paraId="2254D27D" w14:textId="326E19B6" w:rsidR="00BB1C57" w:rsidRDefault="00BB1C57" w:rsidP="00BB1C57">
      <w:pPr>
        <w:pStyle w:val="textregular"/>
        <w:numPr>
          <w:ilvl w:val="0"/>
          <w:numId w:val="14"/>
        </w:numPr>
        <w:ind w:hanging="502"/>
        <w:jc w:val="both"/>
      </w:pPr>
      <w:r>
        <w:t xml:space="preserve">The entity or entities entrusted with the invoicing task shall </w:t>
      </w:r>
      <w:r w:rsidRPr="00296E90">
        <w:t>invoice the SA CE TSOs according to the results of the CCU settlement function</w:t>
      </w:r>
      <w:r>
        <w:t>.</w:t>
      </w:r>
      <w:r>
        <w:rPr>
          <w:rFonts w:cstheme="minorHAnsi"/>
        </w:rPr>
        <w:t xml:space="preserve"> </w:t>
      </w:r>
    </w:p>
    <w:p w14:paraId="0654813C" w14:textId="1F7CF800" w:rsidR="009B5D2E" w:rsidRPr="000E498C" w:rsidRDefault="009B5D2E" w:rsidP="00703440">
      <w:pPr>
        <w:pStyle w:val="textregular"/>
        <w:numPr>
          <w:ilvl w:val="0"/>
          <w:numId w:val="14"/>
        </w:numPr>
        <w:jc w:val="both"/>
      </w:pPr>
      <w:r w:rsidRPr="00296E90">
        <w:t>All</w:t>
      </w:r>
      <w:r w:rsidR="005A3B39" w:rsidRPr="00296E90">
        <w:t xml:space="preserve"> SA</w:t>
      </w:r>
      <w:r w:rsidRPr="00296E90">
        <w:t xml:space="preserve"> CE TSOs shall accept the financial flows and are obliged</w:t>
      </w:r>
      <w:r w:rsidRPr="00431908">
        <w:t xml:space="preserve"> to pay accordingly.</w:t>
      </w:r>
      <w:r w:rsidR="00DC1FDA" w:rsidRPr="00431908">
        <w:t xml:space="preserve"> Financial</w:t>
      </w:r>
      <w:r w:rsidR="00DC1FDA">
        <w:t xml:space="preserve"> flows </w:t>
      </w:r>
      <w:r w:rsidR="004C02B2">
        <w:t>shall</w:t>
      </w:r>
      <w:r w:rsidR="004C02B2" w:rsidRPr="00DC1FDA">
        <w:t xml:space="preserve"> </w:t>
      </w:r>
      <w:r w:rsidR="00DC1FDA" w:rsidRPr="00DC1FDA">
        <w:t xml:space="preserve">be reviewed </w:t>
      </w:r>
      <w:r w:rsidR="00BD02A0">
        <w:t>by the entity or entities</w:t>
      </w:r>
      <w:r w:rsidR="00BD02A0" w:rsidRPr="00DC1FDA">
        <w:t xml:space="preserve"> </w:t>
      </w:r>
      <w:r w:rsidR="00BD02A0">
        <w:t>entrusted with the CC</w:t>
      </w:r>
      <w:r w:rsidR="00E6703F">
        <w:t>U</w:t>
      </w:r>
      <w:r w:rsidR="00BD02A0">
        <w:t xml:space="preserve"> settlement function </w:t>
      </w:r>
      <w:r w:rsidR="00DC1FDA" w:rsidRPr="00DC1FDA">
        <w:t xml:space="preserve">in case an error is found in the calculations or </w:t>
      </w:r>
      <w:r w:rsidR="00AD5783">
        <w:t xml:space="preserve">in </w:t>
      </w:r>
      <w:r w:rsidR="00DC1FDA" w:rsidRPr="00DC1FDA">
        <w:t>the data input to the calculations</w:t>
      </w:r>
      <w:r w:rsidR="00DC1FDA">
        <w:t>.</w:t>
      </w:r>
      <w:r w:rsidR="008D6AFD">
        <w:t xml:space="preserve"> The review can be </w:t>
      </w:r>
      <w:r w:rsidR="00BD02A0">
        <w:t>requested</w:t>
      </w:r>
      <w:r w:rsidR="008D6AFD">
        <w:t xml:space="preserve"> by TSOs </w:t>
      </w:r>
      <w:r w:rsidR="00703440">
        <w:t>until five months after the completion of the</w:t>
      </w:r>
      <w:r w:rsidR="008D6AFD">
        <w:t xml:space="preserve"> settlement results.</w:t>
      </w:r>
      <w:r w:rsidR="00703440">
        <w:t xml:space="preserve"> The  exact </w:t>
      </w:r>
      <w:r w:rsidR="00892EEE">
        <w:t>b</w:t>
      </w:r>
      <w:r w:rsidR="00703440">
        <w:t xml:space="preserve">usiness </w:t>
      </w:r>
      <w:r w:rsidR="00892EEE">
        <w:t>d</w:t>
      </w:r>
      <w:r w:rsidR="00703440">
        <w:t xml:space="preserve">ay until which such remarks are allowed shall be </w:t>
      </w:r>
      <w:r w:rsidR="00892EEE">
        <w:t>notified</w:t>
      </w:r>
      <w:r w:rsidR="00703440">
        <w:t xml:space="preserve"> </w:t>
      </w:r>
      <w:r w:rsidR="00892EEE">
        <w:t>together with the settlement results</w:t>
      </w:r>
      <w:r w:rsidR="00703440">
        <w:t>.</w:t>
      </w:r>
    </w:p>
    <w:p w14:paraId="5F5E1F16" w14:textId="156499C2" w:rsidR="00FA0D5C" w:rsidRDefault="00FA0D5C">
      <w:pPr>
        <w:rPr>
          <w:rFonts w:ascii="Times New Roman" w:hAnsi="Times New Roman" w:cstheme="majorHAnsi"/>
          <w:b/>
          <w:color w:val="23236E" w:themeColor="text2"/>
          <w:sz w:val="24"/>
          <w:szCs w:val="24"/>
        </w:rPr>
      </w:pPr>
    </w:p>
    <w:p w14:paraId="0FB6087A" w14:textId="0FF25972" w:rsidR="009C1049" w:rsidRPr="00F90A5B" w:rsidRDefault="0001595A" w:rsidP="00E17CBF">
      <w:pPr>
        <w:pStyle w:val="headline2"/>
        <w:rPr>
          <w:rFonts w:asciiTheme="minorHAnsi" w:hAnsiTheme="minorHAnsi"/>
          <w:lang w:val="en-US"/>
        </w:rPr>
      </w:pPr>
      <w:bookmarkStart w:id="39" w:name="_Toc509993362"/>
      <w:bookmarkStart w:id="40" w:name="_Toc510006482"/>
      <w:bookmarkStart w:id="41" w:name="_Toc510507374"/>
      <w:bookmarkStart w:id="42" w:name="_Toc510522101"/>
      <w:bookmarkStart w:id="43" w:name="_Toc32931250"/>
      <w:r>
        <w:t>Article 4</w:t>
      </w:r>
      <w:r w:rsidR="00C50383" w:rsidRPr="00992ABA">
        <w:br/>
      </w:r>
      <w:r>
        <w:t xml:space="preserve">Implementation of </w:t>
      </w:r>
      <w:r w:rsidR="002F5F3A">
        <w:t>the common settlement</w:t>
      </w:r>
      <w:bookmarkEnd w:id="39"/>
      <w:bookmarkEnd w:id="40"/>
      <w:bookmarkEnd w:id="41"/>
      <w:bookmarkEnd w:id="42"/>
      <w:bookmarkEnd w:id="43"/>
    </w:p>
    <w:p w14:paraId="3D4CE60F" w14:textId="1842D4EB" w:rsidR="00274C03" w:rsidRPr="00296E90" w:rsidRDefault="005A3B39" w:rsidP="00C771E2">
      <w:pPr>
        <w:pStyle w:val="Listenabsatz"/>
        <w:numPr>
          <w:ilvl w:val="0"/>
          <w:numId w:val="8"/>
        </w:numPr>
        <w:spacing w:after="120" w:line="240" w:lineRule="auto"/>
        <w:contextualSpacing w:val="0"/>
        <w:rPr>
          <w:lang w:val="en-US"/>
        </w:rPr>
      </w:pPr>
      <w:r w:rsidRPr="00296E90">
        <w:rPr>
          <w:rFonts w:ascii="Times New Roman" w:hAnsi="Times New Roman"/>
          <w:lang w:val="en-GB"/>
        </w:rPr>
        <w:t>All SA</w:t>
      </w:r>
      <w:r w:rsidR="002B023E" w:rsidRPr="00296E90">
        <w:rPr>
          <w:rFonts w:ascii="Times New Roman" w:hAnsi="Times New Roman"/>
          <w:lang w:val="en-GB"/>
        </w:rPr>
        <w:t xml:space="preserve"> CE</w:t>
      </w:r>
      <w:r w:rsidR="00274C03" w:rsidRPr="00296E90">
        <w:rPr>
          <w:rFonts w:ascii="Times New Roman" w:hAnsi="Times New Roman"/>
          <w:lang w:val="en-GB"/>
        </w:rPr>
        <w:t xml:space="preserve"> TSOs shall implement the common settlement rules within </w:t>
      </w:r>
      <w:r w:rsidR="00B9594E" w:rsidRPr="00296E90">
        <w:rPr>
          <w:rFonts w:ascii="Times New Roman" w:hAnsi="Times New Roman"/>
          <w:lang w:val="en-GB"/>
        </w:rPr>
        <w:t xml:space="preserve">12 </w:t>
      </w:r>
      <w:r w:rsidR="00274C03" w:rsidRPr="00296E90">
        <w:rPr>
          <w:rFonts w:ascii="Times New Roman" w:hAnsi="Times New Roman"/>
          <w:lang w:val="en-GB"/>
        </w:rPr>
        <w:t xml:space="preserve">months after the approval of </w:t>
      </w:r>
      <w:r w:rsidR="00391C2A" w:rsidRPr="00296E90">
        <w:rPr>
          <w:rFonts w:ascii="Times New Roman" w:hAnsi="Times New Roman"/>
          <w:lang w:val="en-GB"/>
        </w:rPr>
        <w:t xml:space="preserve">this </w:t>
      </w:r>
      <w:r w:rsidR="00427922" w:rsidRPr="00296E90">
        <w:rPr>
          <w:rFonts w:ascii="Times New Roman" w:hAnsi="Times New Roman"/>
          <w:lang w:val="en-GB"/>
        </w:rPr>
        <w:t>CCU</w:t>
      </w:r>
      <w:r w:rsidR="00B9594E" w:rsidRPr="00296E90">
        <w:rPr>
          <w:rFonts w:ascii="Times New Roman" w:hAnsi="Times New Roman"/>
          <w:lang w:val="en-GB"/>
        </w:rPr>
        <w:t xml:space="preserve">, in accordance with Article 5(5) of the </w:t>
      </w:r>
      <w:r w:rsidR="007C701F">
        <w:rPr>
          <w:rFonts w:ascii="Times New Roman" w:hAnsi="Times New Roman"/>
          <w:lang w:val="en-GB"/>
        </w:rPr>
        <w:t>EB Regulation</w:t>
      </w:r>
      <w:r w:rsidR="00274C03" w:rsidRPr="00296E90">
        <w:rPr>
          <w:rFonts w:ascii="Times New Roman" w:hAnsi="Times New Roman"/>
          <w:lang w:val="en-GB"/>
        </w:rPr>
        <w:t>.</w:t>
      </w:r>
    </w:p>
    <w:p w14:paraId="4D72CCB5" w14:textId="77777777" w:rsidR="00256BAE" w:rsidRPr="00296E90" w:rsidRDefault="00256BAE" w:rsidP="00C771E2">
      <w:pPr>
        <w:pStyle w:val="Listenabsatz"/>
        <w:numPr>
          <w:ilvl w:val="0"/>
          <w:numId w:val="8"/>
        </w:numPr>
        <w:spacing w:after="120" w:line="252" w:lineRule="auto"/>
        <w:contextualSpacing w:val="0"/>
        <w:rPr>
          <w:lang w:val="en-US"/>
        </w:rPr>
      </w:pPr>
      <w:r w:rsidRPr="00296E90">
        <w:t xml:space="preserve">The following steps and timeline shall be used as the roadmap for the implementation of </w:t>
      </w:r>
      <w:r w:rsidRPr="00296E90">
        <w:rPr>
          <w:lang w:val="en-US"/>
        </w:rPr>
        <w:t>the common settlement rules</w:t>
      </w:r>
      <w:r w:rsidRPr="00296E90">
        <w:t>:</w:t>
      </w:r>
    </w:p>
    <w:p w14:paraId="48242853" w14:textId="4B2B3549" w:rsidR="00256BAE" w:rsidRPr="00296E90" w:rsidRDefault="00467B32" w:rsidP="00C771E2">
      <w:pPr>
        <w:pStyle w:val="Listenabsatz"/>
        <w:numPr>
          <w:ilvl w:val="1"/>
          <w:numId w:val="8"/>
        </w:numPr>
        <w:spacing w:after="120" w:line="252" w:lineRule="auto"/>
        <w:contextualSpacing w:val="0"/>
        <w:rPr>
          <w:lang w:val="en-US"/>
        </w:rPr>
      </w:pPr>
      <w:bookmarkStart w:id="44" w:name="_Hlk7467319"/>
      <w:r>
        <w:rPr>
          <w:lang w:val="en-US"/>
        </w:rPr>
        <w:t>Adaption of a</w:t>
      </w:r>
      <w:r w:rsidR="00256BAE" w:rsidRPr="00296E90">
        <w:rPr>
          <w:lang w:val="en-US"/>
        </w:rPr>
        <w:t>ll meters</w:t>
      </w:r>
      <w:bookmarkEnd w:id="44"/>
      <w:r w:rsidR="00256BAE" w:rsidRPr="00296E90">
        <w:rPr>
          <w:lang w:val="en-US"/>
        </w:rPr>
        <w:t>: All</w:t>
      </w:r>
      <w:r w:rsidR="005A3B39" w:rsidRPr="00296E90">
        <w:rPr>
          <w:lang w:val="en-US"/>
        </w:rPr>
        <w:t xml:space="preserve"> SA</w:t>
      </w:r>
      <w:r w:rsidR="00256BAE" w:rsidRPr="00296E90">
        <w:rPr>
          <w:lang w:val="en-US"/>
        </w:rPr>
        <w:t xml:space="preserve"> </w:t>
      </w:r>
      <w:r w:rsidR="002B023E" w:rsidRPr="00296E90">
        <w:rPr>
          <w:lang w:val="en-US"/>
        </w:rPr>
        <w:t>CE</w:t>
      </w:r>
      <w:r w:rsidR="00256BAE" w:rsidRPr="00296E90">
        <w:rPr>
          <w:lang w:val="en-US"/>
        </w:rPr>
        <w:t xml:space="preserve"> TSOs have changed their metering devices and are able to meter the exchange</w:t>
      </w:r>
      <w:r>
        <w:rPr>
          <w:lang w:val="en-US"/>
        </w:rPr>
        <w:t>s</w:t>
      </w:r>
      <w:r w:rsidR="00256BAE" w:rsidRPr="00296E90">
        <w:rPr>
          <w:lang w:val="en-US"/>
        </w:rPr>
        <w:t xml:space="preserve"> </w:t>
      </w:r>
      <w:r>
        <w:rPr>
          <w:lang w:val="en-US"/>
        </w:rPr>
        <w:t xml:space="preserve">of </w:t>
      </w:r>
      <w:r w:rsidRPr="00296E90">
        <w:rPr>
          <w:lang w:val="en-US"/>
        </w:rPr>
        <w:t xml:space="preserve">energy </w:t>
      </w:r>
      <w:r w:rsidR="00256BAE" w:rsidRPr="00296E90">
        <w:rPr>
          <w:lang w:val="en-US"/>
        </w:rPr>
        <w:t>in the TSO-TSO settlement period.</w:t>
      </w:r>
    </w:p>
    <w:p w14:paraId="6248B86D" w14:textId="2DC4326F" w:rsidR="00DB2C02" w:rsidRPr="00296E90" w:rsidRDefault="0067398D" w:rsidP="00C771E2">
      <w:pPr>
        <w:pStyle w:val="Listenabsatz"/>
        <w:numPr>
          <w:ilvl w:val="1"/>
          <w:numId w:val="8"/>
        </w:numPr>
        <w:spacing w:after="120" w:line="252" w:lineRule="auto"/>
        <w:contextualSpacing w:val="0"/>
        <w:rPr>
          <w:lang w:val="en-US"/>
        </w:rPr>
      </w:pPr>
      <w:r>
        <w:rPr>
          <w:lang w:val="en-US"/>
        </w:rPr>
        <w:t>Appointment</w:t>
      </w:r>
      <w:r w:rsidR="00DB2C02" w:rsidRPr="00296E90">
        <w:rPr>
          <w:lang w:val="en-US"/>
        </w:rPr>
        <w:t xml:space="preserve"> of the entities: The CCU accounting function, CCU settlement function and invoicing tasks have been </w:t>
      </w:r>
      <w:r>
        <w:rPr>
          <w:lang w:val="en-US"/>
        </w:rPr>
        <w:t>appointed</w:t>
      </w:r>
      <w:r w:rsidR="00DB2C02" w:rsidRPr="00296E90">
        <w:rPr>
          <w:lang w:val="en-US"/>
        </w:rPr>
        <w:t xml:space="preserve"> to an entity or entities according to Article 3 of th</w:t>
      </w:r>
      <w:r w:rsidR="00A161C0" w:rsidRPr="00296E90">
        <w:rPr>
          <w:lang w:val="en-US"/>
        </w:rPr>
        <w:t>is</w:t>
      </w:r>
      <w:r w:rsidR="00DB2C02" w:rsidRPr="00296E90">
        <w:rPr>
          <w:lang w:val="en-US"/>
        </w:rPr>
        <w:t xml:space="preserve"> CCU.</w:t>
      </w:r>
    </w:p>
    <w:p w14:paraId="6592BDA4" w14:textId="3FABC9AC" w:rsidR="001C4E4C" w:rsidRPr="00296E90" w:rsidRDefault="001C4E4C" w:rsidP="00C771E2">
      <w:pPr>
        <w:pStyle w:val="Listenabsatz"/>
        <w:numPr>
          <w:ilvl w:val="1"/>
          <w:numId w:val="8"/>
        </w:numPr>
        <w:spacing w:after="120" w:line="252" w:lineRule="auto"/>
        <w:contextualSpacing w:val="0"/>
        <w:rPr>
          <w:lang w:val="en-US"/>
        </w:rPr>
      </w:pPr>
      <w:r w:rsidRPr="00296E90">
        <w:rPr>
          <w:lang w:val="en-US"/>
        </w:rPr>
        <w:t xml:space="preserve">Implementation of </w:t>
      </w:r>
      <w:r w:rsidR="00A67448" w:rsidRPr="00296E90">
        <w:rPr>
          <w:lang w:val="en-US"/>
        </w:rPr>
        <w:t xml:space="preserve">the </w:t>
      </w:r>
      <w:r w:rsidR="000372F9" w:rsidRPr="00296E90">
        <w:rPr>
          <w:lang w:val="en-US"/>
        </w:rPr>
        <w:t xml:space="preserve">CCU </w:t>
      </w:r>
      <w:r w:rsidRPr="00296E90">
        <w:rPr>
          <w:lang w:val="en-US"/>
        </w:rPr>
        <w:t xml:space="preserve">accounting </w:t>
      </w:r>
      <w:r w:rsidR="00AF3328" w:rsidRPr="00296E90">
        <w:rPr>
          <w:lang w:val="en-US"/>
        </w:rPr>
        <w:t>function</w:t>
      </w:r>
      <w:r w:rsidRPr="00296E90">
        <w:rPr>
          <w:lang w:val="en-US"/>
        </w:rPr>
        <w:t xml:space="preserve">: The  </w:t>
      </w:r>
      <w:r w:rsidR="0065361D" w:rsidRPr="00296E90">
        <w:rPr>
          <w:lang w:val="en-US"/>
        </w:rPr>
        <w:t>entit</w:t>
      </w:r>
      <w:r w:rsidR="00AF3328" w:rsidRPr="00296E90">
        <w:rPr>
          <w:lang w:val="en-US"/>
        </w:rPr>
        <w:t>y or entities</w:t>
      </w:r>
      <w:r w:rsidRPr="00296E90">
        <w:rPr>
          <w:lang w:val="en-US"/>
        </w:rPr>
        <w:t xml:space="preserve"> </w:t>
      </w:r>
      <w:r w:rsidR="00427922" w:rsidRPr="00296E90">
        <w:rPr>
          <w:lang w:val="en-US"/>
        </w:rPr>
        <w:t>entrusted with</w:t>
      </w:r>
      <w:r w:rsidRPr="00296E90">
        <w:rPr>
          <w:lang w:val="en-US"/>
        </w:rPr>
        <w:t xml:space="preserve"> the </w:t>
      </w:r>
      <w:r w:rsidR="000372F9" w:rsidRPr="00296E90">
        <w:rPr>
          <w:lang w:val="en-US"/>
        </w:rPr>
        <w:t xml:space="preserve">CCU </w:t>
      </w:r>
      <w:r w:rsidRPr="00296E90">
        <w:rPr>
          <w:lang w:val="en-US"/>
        </w:rPr>
        <w:t>accou</w:t>
      </w:r>
      <w:r w:rsidR="00427922" w:rsidRPr="00296E90">
        <w:rPr>
          <w:lang w:val="en-US"/>
        </w:rPr>
        <w:t>n</w:t>
      </w:r>
      <w:r w:rsidRPr="00296E90">
        <w:rPr>
          <w:lang w:val="en-US"/>
        </w:rPr>
        <w:t xml:space="preserve">ting function shall implement the </w:t>
      </w:r>
      <w:r w:rsidR="000372F9" w:rsidRPr="00296E90">
        <w:rPr>
          <w:lang w:val="en-US"/>
        </w:rPr>
        <w:t xml:space="preserve">CCU </w:t>
      </w:r>
      <w:r w:rsidRPr="00296E90">
        <w:rPr>
          <w:lang w:val="en-US"/>
        </w:rPr>
        <w:t xml:space="preserve">accounting </w:t>
      </w:r>
      <w:r w:rsidR="00AF3328" w:rsidRPr="00296E90">
        <w:rPr>
          <w:lang w:val="en-US"/>
        </w:rPr>
        <w:t>function</w:t>
      </w:r>
      <w:r w:rsidRPr="00296E90">
        <w:rPr>
          <w:lang w:val="en-US"/>
        </w:rPr>
        <w:t>. All</w:t>
      </w:r>
      <w:r w:rsidR="005A3B39" w:rsidRPr="00296E90">
        <w:rPr>
          <w:lang w:val="en-US"/>
        </w:rPr>
        <w:t xml:space="preserve"> SA</w:t>
      </w:r>
      <w:r w:rsidRPr="00296E90">
        <w:rPr>
          <w:lang w:val="en-US"/>
        </w:rPr>
        <w:t xml:space="preserve"> </w:t>
      </w:r>
      <w:r w:rsidR="002B023E" w:rsidRPr="00296E90">
        <w:rPr>
          <w:lang w:val="en-US"/>
        </w:rPr>
        <w:t>CE</w:t>
      </w:r>
      <w:r w:rsidRPr="00296E90">
        <w:rPr>
          <w:lang w:val="en-US"/>
        </w:rPr>
        <w:t xml:space="preserve"> TSOs shall implement their interfaces to the </w:t>
      </w:r>
      <w:r w:rsidR="000372F9" w:rsidRPr="00296E90">
        <w:rPr>
          <w:lang w:val="en-US"/>
        </w:rPr>
        <w:t xml:space="preserve">CCU </w:t>
      </w:r>
      <w:r w:rsidRPr="00296E90">
        <w:rPr>
          <w:lang w:val="en-US"/>
        </w:rPr>
        <w:t xml:space="preserve">accounting </w:t>
      </w:r>
      <w:r w:rsidR="00EF1CB3" w:rsidRPr="00296E90">
        <w:rPr>
          <w:lang w:val="en-US"/>
        </w:rPr>
        <w:t>function</w:t>
      </w:r>
      <w:r w:rsidRPr="00296E90">
        <w:rPr>
          <w:lang w:val="en-US"/>
        </w:rPr>
        <w:t xml:space="preserve"> if needed.</w:t>
      </w:r>
    </w:p>
    <w:p w14:paraId="49823104" w14:textId="41C42F24" w:rsidR="001C4E4C" w:rsidRDefault="001C4E4C" w:rsidP="00C771E2">
      <w:pPr>
        <w:pStyle w:val="Listenabsatz"/>
        <w:numPr>
          <w:ilvl w:val="1"/>
          <w:numId w:val="8"/>
        </w:numPr>
        <w:spacing w:after="120" w:line="252" w:lineRule="auto"/>
        <w:contextualSpacing w:val="0"/>
        <w:rPr>
          <w:lang w:val="en-US"/>
        </w:rPr>
      </w:pPr>
      <w:r w:rsidRPr="00296E90">
        <w:rPr>
          <w:lang w:val="en-US"/>
        </w:rPr>
        <w:t xml:space="preserve">Implementation of </w:t>
      </w:r>
      <w:r w:rsidR="00A67448" w:rsidRPr="00296E90">
        <w:rPr>
          <w:lang w:val="en-US"/>
        </w:rPr>
        <w:t xml:space="preserve">the </w:t>
      </w:r>
      <w:r w:rsidR="0065361D" w:rsidRPr="00296E90">
        <w:rPr>
          <w:lang w:val="en-US"/>
        </w:rPr>
        <w:t xml:space="preserve">CCU </w:t>
      </w:r>
      <w:r w:rsidRPr="00296E90">
        <w:rPr>
          <w:lang w:val="en-US"/>
        </w:rPr>
        <w:t xml:space="preserve">settlement </w:t>
      </w:r>
      <w:r w:rsidR="00AF3328" w:rsidRPr="00296E90">
        <w:rPr>
          <w:lang w:val="en-US"/>
        </w:rPr>
        <w:t>function</w:t>
      </w:r>
      <w:r w:rsidRPr="00296E90">
        <w:rPr>
          <w:lang w:val="en-US"/>
        </w:rPr>
        <w:t xml:space="preserve">: The </w:t>
      </w:r>
      <w:r w:rsidR="00AF3328" w:rsidRPr="00296E90">
        <w:rPr>
          <w:lang w:val="en-US"/>
        </w:rPr>
        <w:t>entity or entities</w:t>
      </w:r>
      <w:r w:rsidRPr="00296E90">
        <w:rPr>
          <w:lang w:val="en-US"/>
        </w:rPr>
        <w:t xml:space="preserve"> </w:t>
      </w:r>
      <w:r w:rsidR="00427922" w:rsidRPr="00296E90">
        <w:rPr>
          <w:lang w:val="en-US"/>
        </w:rPr>
        <w:t xml:space="preserve">entrusted with </w:t>
      </w:r>
      <w:r w:rsidRPr="00296E90">
        <w:rPr>
          <w:lang w:val="en-US"/>
        </w:rPr>
        <w:t xml:space="preserve">the </w:t>
      </w:r>
      <w:r w:rsidR="0065361D" w:rsidRPr="00296E90">
        <w:rPr>
          <w:lang w:val="en-US"/>
        </w:rPr>
        <w:t xml:space="preserve">CCU </w:t>
      </w:r>
      <w:r w:rsidRPr="00296E90">
        <w:rPr>
          <w:lang w:val="en-US"/>
        </w:rPr>
        <w:t>settlement function shall implement the</w:t>
      </w:r>
      <w:r w:rsidR="0065361D" w:rsidRPr="00296E90">
        <w:rPr>
          <w:lang w:val="en-US"/>
        </w:rPr>
        <w:t xml:space="preserve"> CCU</w:t>
      </w:r>
      <w:r w:rsidRPr="00296E90">
        <w:rPr>
          <w:lang w:val="en-US"/>
        </w:rPr>
        <w:t xml:space="preserve"> settlement </w:t>
      </w:r>
      <w:r w:rsidR="00AF3328" w:rsidRPr="00296E90">
        <w:rPr>
          <w:lang w:val="en-US"/>
        </w:rPr>
        <w:t>function</w:t>
      </w:r>
      <w:r w:rsidRPr="00296E90">
        <w:rPr>
          <w:lang w:val="en-US"/>
        </w:rPr>
        <w:t xml:space="preserve">. All </w:t>
      </w:r>
      <w:r w:rsidR="005A3B39" w:rsidRPr="00296E90">
        <w:rPr>
          <w:lang w:val="en-US"/>
        </w:rPr>
        <w:t xml:space="preserve">SA </w:t>
      </w:r>
      <w:r w:rsidR="002B023E" w:rsidRPr="00296E90">
        <w:rPr>
          <w:lang w:val="en-US"/>
        </w:rPr>
        <w:t>CE</w:t>
      </w:r>
      <w:r w:rsidRPr="00296E90">
        <w:rPr>
          <w:lang w:val="en-US"/>
        </w:rPr>
        <w:t xml:space="preserve"> TSOs</w:t>
      </w:r>
      <w:r w:rsidRPr="00D455A7">
        <w:rPr>
          <w:lang w:val="en-US"/>
        </w:rPr>
        <w:t xml:space="preserve"> shall implement their interfaces to the </w:t>
      </w:r>
      <w:r w:rsidR="0065361D">
        <w:rPr>
          <w:lang w:val="en-US"/>
        </w:rPr>
        <w:t xml:space="preserve">CCU </w:t>
      </w:r>
      <w:r w:rsidRPr="00D455A7">
        <w:rPr>
          <w:lang w:val="en-US"/>
        </w:rPr>
        <w:t xml:space="preserve">settlement </w:t>
      </w:r>
      <w:r w:rsidR="00EF1CB3">
        <w:rPr>
          <w:lang w:val="en-US"/>
        </w:rPr>
        <w:t>function</w:t>
      </w:r>
      <w:r w:rsidR="00B97238">
        <w:rPr>
          <w:lang w:val="en-US"/>
        </w:rPr>
        <w:t xml:space="preserve"> if needed</w:t>
      </w:r>
      <w:r w:rsidRPr="00D455A7">
        <w:rPr>
          <w:lang w:val="en-US"/>
        </w:rPr>
        <w:t>.</w:t>
      </w:r>
    </w:p>
    <w:p w14:paraId="2F6AA702" w14:textId="19BC6DB9" w:rsidR="00346AE3" w:rsidRPr="00296E90" w:rsidRDefault="00346AE3" w:rsidP="00C771E2">
      <w:pPr>
        <w:pStyle w:val="Listenabsatz"/>
        <w:numPr>
          <w:ilvl w:val="1"/>
          <w:numId w:val="8"/>
        </w:numPr>
        <w:spacing w:after="120" w:line="252" w:lineRule="auto"/>
        <w:contextualSpacing w:val="0"/>
        <w:rPr>
          <w:lang w:val="en-US"/>
        </w:rPr>
      </w:pPr>
      <w:r>
        <w:rPr>
          <w:lang w:val="en-US"/>
        </w:rPr>
        <w:t xml:space="preserve">Implementation of the CCU invoicing tasks: The entity or entities entrusted with the CCU </w:t>
      </w:r>
      <w:r w:rsidRPr="00296E90">
        <w:rPr>
          <w:lang w:val="en-US"/>
        </w:rPr>
        <w:t xml:space="preserve">invoicing tasks shall implement the CCU invoicing tasks. </w:t>
      </w:r>
      <w:r w:rsidR="00173EF2">
        <w:t>All needed interfaces shall be setup.</w:t>
      </w:r>
    </w:p>
    <w:p w14:paraId="148EBA43" w14:textId="73184480" w:rsidR="00256BAE" w:rsidRPr="00296E90" w:rsidRDefault="00256BAE" w:rsidP="00C771E2">
      <w:pPr>
        <w:pStyle w:val="Listenabsatz"/>
        <w:numPr>
          <w:ilvl w:val="1"/>
          <w:numId w:val="8"/>
        </w:numPr>
        <w:spacing w:after="120" w:line="252" w:lineRule="auto"/>
        <w:contextualSpacing w:val="0"/>
        <w:rPr>
          <w:lang w:val="en-US"/>
        </w:rPr>
      </w:pPr>
      <w:r w:rsidRPr="00296E90">
        <w:rPr>
          <w:lang w:val="en-US"/>
        </w:rPr>
        <w:t xml:space="preserve">Testing: All </w:t>
      </w:r>
      <w:r w:rsidR="005A3B39" w:rsidRPr="00296E90">
        <w:rPr>
          <w:lang w:val="en-US"/>
        </w:rPr>
        <w:t xml:space="preserve">SA </w:t>
      </w:r>
      <w:r w:rsidR="002B023E" w:rsidRPr="00296E90">
        <w:rPr>
          <w:lang w:val="en-US"/>
        </w:rPr>
        <w:t>CE TSOs</w:t>
      </w:r>
      <w:r w:rsidRPr="00296E90">
        <w:rPr>
          <w:lang w:val="en-US"/>
        </w:rPr>
        <w:t xml:space="preserve"> shall test the interfaces to the </w:t>
      </w:r>
      <w:r w:rsidR="000372F9" w:rsidRPr="00296E90">
        <w:rPr>
          <w:lang w:val="en-US"/>
        </w:rPr>
        <w:t xml:space="preserve">CCU </w:t>
      </w:r>
      <w:r w:rsidRPr="00296E90">
        <w:rPr>
          <w:lang w:val="en-US"/>
        </w:rPr>
        <w:t>accou</w:t>
      </w:r>
      <w:r w:rsidR="00427922" w:rsidRPr="00296E90">
        <w:rPr>
          <w:lang w:val="en-US"/>
        </w:rPr>
        <w:t>n</w:t>
      </w:r>
      <w:r w:rsidRPr="00296E90">
        <w:rPr>
          <w:lang w:val="en-US"/>
        </w:rPr>
        <w:t>ting</w:t>
      </w:r>
      <w:r w:rsidR="00B04DC7" w:rsidRPr="00296E90">
        <w:rPr>
          <w:lang w:val="en-US"/>
        </w:rPr>
        <w:t xml:space="preserve">, </w:t>
      </w:r>
      <w:r w:rsidR="00A161C0" w:rsidRPr="00296E90">
        <w:rPr>
          <w:lang w:val="en-US"/>
        </w:rPr>
        <w:t xml:space="preserve">the </w:t>
      </w:r>
      <w:r w:rsidR="000372F9" w:rsidRPr="00296E90">
        <w:rPr>
          <w:lang w:val="en-US"/>
        </w:rPr>
        <w:t xml:space="preserve">CCU </w:t>
      </w:r>
      <w:r w:rsidRPr="00296E90">
        <w:rPr>
          <w:lang w:val="en-US"/>
        </w:rPr>
        <w:t xml:space="preserve">settlement </w:t>
      </w:r>
      <w:r w:rsidR="00EF1CB3" w:rsidRPr="00296E90">
        <w:rPr>
          <w:lang w:val="en-US"/>
        </w:rPr>
        <w:t>function</w:t>
      </w:r>
      <w:r w:rsidR="00B04DC7" w:rsidRPr="00296E90">
        <w:rPr>
          <w:lang w:val="en-US"/>
        </w:rPr>
        <w:t xml:space="preserve"> and, if applicable, to the CCU invoicing task</w:t>
      </w:r>
      <w:r w:rsidRPr="00296E90">
        <w:rPr>
          <w:lang w:val="en-US"/>
        </w:rPr>
        <w:t>.</w:t>
      </w:r>
    </w:p>
    <w:p w14:paraId="428C6A0A" w14:textId="14F85909" w:rsidR="00256BAE" w:rsidRPr="00296E90" w:rsidRDefault="00256BAE" w:rsidP="00C771E2">
      <w:pPr>
        <w:pStyle w:val="Listenabsatz"/>
        <w:numPr>
          <w:ilvl w:val="1"/>
          <w:numId w:val="8"/>
        </w:numPr>
        <w:spacing w:after="120" w:line="252" w:lineRule="auto"/>
        <w:contextualSpacing w:val="0"/>
        <w:rPr>
          <w:lang w:val="en-US"/>
        </w:rPr>
      </w:pPr>
      <w:r w:rsidRPr="00296E90">
        <w:rPr>
          <w:lang w:val="en-US"/>
        </w:rPr>
        <w:t>Go-live: After all tests</w:t>
      </w:r>
      <w:r w:rsidR="00A161C0" w:rsidRPr="00296E90">
        <w:rPr>
          <w:lang w:val="en-US"/>
        </w:rPr>
        <w:t xml:space="preserve"> in accordance with Article 4(2)(f) of this CCU</w:t>
      </w:r>
      <w:r w:rsidRPr="00296E90">
        <w:rPr>
          <w:lang w:val="en-US"/>
        </w:rPr>
        <w:t xml:space="preserve"> have been succes</w:t>
      </w:r>
      <w:r w:rsidR="0065361D" w:rsidRPr="00296E90">
        <w:rPr>
          <w:lang w:val="en-US"/>
        </w:rPr>
        <w:t>s</w:t>
      </w:r>
      <w:r w:rsidRPr="00296E90">
        <w:rPr>
          <w:lang w:val="en-US"/>
        </w:rPr>
        <w:t>ful</w:t>
      </w:r>
      <w:r w:rsidR="00A67448" w:rsidRPr="00296E90">
        <w:rPr>
          <w:lang w:val="en-US"/>
        </w:rPr>
        <w:t>,</w:t>
      </w:r>
      <w:r w:rsidRPr="00296E90">
        <w:rPr>
          <w:lang w:val="en-US"/>
        </w:rPr>
        <w:t xml:space="preserve"> the common settlement will go live.</w:t>
      </w:r>
    </w:p>
    <w:p w14:paraId="4725B4F3" w14:textId="1BA3ECAB" w:rsidR="003A3692" w:rsidRPr="00B02B12" w:rsidRDefault="003A3692" w:rsidP="003A3692">
      <w:pPr>
        <w:pStyle w:val="Listenabsatz"/>
        <w:numPr>
          <w:ilvl w:val="1"/>
          <w:numId w:val="8"/>
        </w:numPr>
        <w:spacing w:after="120" w:line="252" w:lineRule="auto"/>
        <w:contextualSpacing w:val="0"/>
        <w:rPr>
          <w:lang w:val="en-GB"/>
        </w:rPr>
      </w:pPr>
      <w:r w:rsidRPr="005F774A">
        <w:rPr>
          <w:lang w:val="en-GB"/>
        </w:rPr>
        <w:t xml:space="preserve">Reviewal mechanism: After implementation of these common settlement rules, a reviewal mechanism shall start </w:t>
      </w:r>
      <w:r>
        <w:rPr>
          <w:lang w:val="en-GB"/>
        </w:rPr>
        <w:t>no later than</w:t>
      </w:r>
      <w:r w:rsidRPr="005F774A">
        <w:rPr>
          <w:lang w:val="en-GB"/>
        </w:rPr>
        <w:t xml:space="preserve"> end of 2022, in which all SA CE TSOs shall review the </w:t>
      </w:r>
      <w:r w:rsidR="00D126CB">
        <w:rPr>
          <w:lang w:val="en-GB"/>
        </w:rPr>
        <w:t>CCU</w:t>
      </w:r>
      <w:r w:rsidRPr="005F774A">
        <w:rPr>
          <w:lang w:val="en-GB"/>
        </w:rPr>
        <w:t xml:space="preserve">. A review shall take place at least every three years after the first review. The reviewal mechanism could affect, among others, the parameters of the pricing rules described in Article 8 of this </w:t>
      </w:r>
      <w:r w:rsidR="00D126CB">
        <w:rPr>
          <w:lang w:val="en-GB"/>
        </w:rPr>
        <w:t>CCU</w:t>
      </w:r>
      <w:r w:rsidRPr="005F774A">
        <w:rPr>
          <w:lang w:val="en-GB"/>
        </w:rPr>
        <w:t xml:space="preserve">, the time resolution of the TSO-TSO settlement period described in Article 6 of this </w:t>
      </w:r>
      <w:r w:rsidR="00D126CB">
        <w:rPr>
          <w:lang w:val="en-GB"/>
        </w:rPr>
        <w:t>CCU</w:t>
      </w:r>
      <w:r w:rsidRPr="005F774A">
        <w:rPr>
          <w:lang w:val="en-GB"/>
        </w:rPr>
        <w:t xml:space="preserve"> or technical details such as data collection. Whenever changes to the </w:t>
      </w:r>
      <w:r w:rsidR="00D126CB">
        <w:rPr>
          <w:lang w:val="en-GB"/>
        </w:rPr>
        <w:t>CCU</w:t>
      </w:r>
      <w:r w:rsidRPr="005F774A">
        <w:rPr>
          <w:lang w:val="en-GB"/>
        </w:rPr>
        <w:t xml:space="preserve"> are agreed by all SA CE TSOs, these shall develop a proposal for amendments to the </w:t>
      </w:r>
      <w:r w:rsidR="00D126CB">
        <w:rPr>
          <w:lang w:val="en-GB"/>
        </w:rPr>
        <w:t>CCU</w:t>
      </w:r>
      <w:r w:rsidRPr="005F774A">
        <w:rPr>
          <w:lang w:val="en-GB"/>
        </w:rPr>
        <w:t xml:space="preserve"> and submit it to all relevant regulatory authorities for approval</w:t>
      </w:r>
      <w:r w:rsidR="00D126CB">
        <w:rPr>
          <w:lang w:val="en-GB"/>
        </w:rPr>
        <w:t xml:space="preserve">, </w:t>
      </w:r>
      <w:r w:rsidRPr="00B02B12">
        <w:rPr>
          <w:lang w:val="en-GB"/>
        </w:rPr>
        <w:t>no later than twelve months after the start of the corresponding period of the reviewal mechanism.</w:t>
      </w:r>
    </w:p>
    <w:p w14:paraId="325263A9" w14:textId="34F9228C" w:rsidR="003A3692" w:rsidRPr="005F774A" w:rsidRDefault="003A3692" w:rsidP="003A3692">
      <w:pPr>
        <w:pStyle w:val="Listenabsatz"/>
        <w:numPr>
          <w:ilvl w:val="1"/>
          <w:numId w:val="8"/>
        </w:numPr>
        <w:spacing w:after="120" w:line="252" w:lineRule="auto"/>
        <w:contextualSpacing w:val="0"/>
        <w:rPr>
          <w:lang w:val="en-GB"/>
        </w:rPr>
      </w:pPr>
      <w:r w:rsidRPr="00B02B12">
        <w:rPr>
          <w:lang w:val="en-GB"/>
        </w:rPr>
        <w:t xml:space="preserve">Usage of balancing prices: All SA CE TSOs shall use the reviewal mechanism described in paragraph (h) of this Article to develop a proposal for amendments to this </w:t>
      </w:r>
      <w:r w:rsidR="00D126CB">
        <w:rPr>
          <w:lang w:val="en-GB"/>
        </w:rPr>
        <w:t>CCU</w:t>
      </w:r>
      <w:r w:rsidRPr="00B02B12">
        <w:rPr>
          <w:lang w:val="en-GB"/>
        </w:rPr>
        <w:t xml:space="preserve"> where the methodology shall be reviewed to incorporate balancing energy prices, in accordance with Article 51(1)(a) and 51(1)(b) of the EB </w:t>
      </w:r>
      <w:r w:rsidRPr="005F774A">
        <w:rPr>
          <w:lang w:val="en-GB"/>
        </w:rPr>
        <w:t xml:space="preserve">Regulation, instead of day-ahead market prices. The usage of balancing energy prices shall be implemented within one year of the approval of the corresponding request for amendments to this </w:t>
      </w:r>
      <w:r w:rsidR="00D126CB">
        <w:rPr>
          <w:lang w:val="en-GB"/>
        </w:rPr>
        <w:t>CCU</w:t>
      </w:r>
      <w:r w:rsidRPr="005F774A">
        <w:rPr>
          <w:lang w:val="en-GB"/>
        </w:rPr>
        <w:t>.</w:t>
      </w:r>
    </w:p>
    <w:p w14:paraId="52BEE7BE" w14:textId="7BBD4AAC" w:rsidR="00FA0D5C" w:rsidRDefault="00BD02A0">
      <w:pPr>
        <w:rPr>
          <w:rFonts w:ascii="Times New Roman" w:hAnsi="Times New Roman" w:cstheme="majorHAnsi"/>
          <w:b/>
          <w:color w:val="23236E" w:themeColor="text2"/>
          <w:sz w:val="24"/>
          <w:szCs w:val="24"/>
        </w:rPr>
      </w:pPr>
      <w:r w:rsidRPr="00296E90" w:rsidDel="00BD02A0">
        <w:rPr>
          <w:lang w:val="en-US"/>
        </w:rPr>
        <w:t xml:space="preserve"> </w:t>
      </w:r>
    </w:p>
    <w:p w14:paraId="7AEF62DB" w14:textId="420EF44C" w:rsidR="0001595A" w:rsidRPr="009B2563" w:rsidRDefault="0001595A" w:rsidP="00E17CBF">
      <w:pPr>
        <w:pStyle w:val="headline2"/>
      </w:pPr>
      <w:bookmarkStart w:id="45" w:name="_Toc509993363"/>
      <w:bookmarkStart w:id="46" w:name="_Toc510006483"/>
      <w:bookmarkStart w:id="47" w:name="_Toc510507375"/>
      <w:bookmarkStart w:id="48" w:name="_Toc510522102"/>
      <w:bookmarkStart w:id="49" w:name="_Toc32931251"/>
      <w:r>
        <w:t>Article 5</w:t>
      </w:r>
      <w:r w:rsidR="00C50383" w:rsidRPr="00992ABA">
        <w:br/>
      </w:r>
      <w:r>
        <w:t xml:space="preserve">Functions of </w:t>
      </w:r>
      <w:r w:rsidR="002F5F3A">
        <w:t>the common settlement</w:t>
      </w:r>
      <w:bookmarkEnd w:id="45"/>
      <w:bookmarkEnd w:id="46"/>
      <w:bookmarkEnd w:id="47"/>
      <w:bookmarkEnd w:id="48"/>
      <w:bookmarkEnd w:id="49"/>
    </w:p>
    <w:p w14:paraId="4CB05F53" w14:textId="16BF7F5B" w:rsidR="0001595A" w:rsidRPr="00296E90" w:rsidRDefault="00350697" w:rsidP="00C771E2">
      <w:pPr>
        <w:pStyle w:val="textregular"/>
        <w:numPr>
          <w:ilvl w:val="0"/>
          <w:numId w:val="28"/>
        </w:numPr>
        <w:ind w:hanging="357"/>
        <w:jc w:val="both"/>
      </w:pPr>
      <w:bookmarkStart w:id="50" w:name="_Hlk7465381"/>
      <w:r>
        <w:t>The common settlement</w:t>
      </w:r>
      <w:r w:rsidR="004A7B1B">
        <w:t xml:space="preserve"> in accordance with this CCU</w:t>
      </w:r>
      <w:r>
        <w:t xml:space="preserve"> shall </w:t>
      </w:r>
      <w:r w:rsidRPr="00296E90">
        <w:t>consist of the CCU accounting function and the CCU settlement function</w:t>
      </w:r>
      <w:bookmarkEnd w:id="50"/>
      <w:r w:rsidR="001C4E4C" w:rsidRPr="00296E90">
        <w:t>.</w:t>
      </w:r>
    </w:p>
    <w:p w14:paraId="7FBF55FF" w14:textId="2207936A" w:rsidR="009C1049" w:rsidRPr="00296E90" w:rsidRDefault="009C1049" w:rsidP="00C771E2">
      <w:pPr>
        <w:pStyle w:val="textregular"/>
        <w:numPr>
          <w:ilvl w:val="0"/>
          <w:numId w:val="28"/>
        </w:numPr>
        <w:ind w:hanging="357"/>
        <w:jc w:val="both"/>
      </w:pPr>
      <w:r w:rsidRPr="00296E90">
        <w:t xml:space="preserve">The purpose of the </w:t>
      </w:r>
      <w:r w:rsidR="000372F9" w:rsidRPr="00296E90">
        <w:t xml:space="preserve">CCU </w:t>
      </w:r>
      <w:r w:rsidRPr="00296E90">
        <w:t xml:space="preserve">accounting function </w:t>
      </w:r>
      <w:r w:rsidR="00A07FB8" w:rsidRPr="00296E90">
        <w:t xml:space="preserve">shall be the </w:t>
      </w:r>
      <w:r w:rsidR="007D6E4F" w:rsidRPr="00296E90">
        <w:t>calculation of the unintended exchanges of energy</w:t>
      </w:r>
      <w:r w:rsidR="00784AC9">
        <w:t>,</w:t>
      </w:r>
      <w:r w:rsidR="007D6E4F" w:rsidRPr="00296E90">
        <w:t xml:space="preserve"> for each TSO-TSO settlement period within SA CE, </w:t>
      </w:r>
      <w:bookmarkStart w:id="51" w:name="_Hlk7469835"/>
      <w:r w:rsidR="007D6E4F" w:rsidRPr="00296E90">
        <w:t>in accordance with Article 3 of this CCU</w:t>
      </w:r>
      <w:bookmarkEnd w:id="51"/>
      <w:r w:rsidR="007D6E4F" w:rsidRPr="00296E90">
        <w:t>.</w:t>
      </w:r>
    </w:p>
    <w:p w14:paraId="61A76366" w14:textId="3512712A" w:rsidR="005C2A9B" w:rsidRPr="00296E90" w:rsidRDefault="005C2A9B" w:rsidP="00C771E2">
      <w:pPr>
        <w:pStyle w:val="textregular"/>
        <w:numPr>
          <w:ilvl w:val="0"/>
          <w:numId w:val="28"/>
        </w:numPr>
        <w:ind w:hanging="357"/>
        <w:jc w:val="both"/>
      </w:pPr>
      <w:r w:rsidRPr="00296E90">
        <w:t xml:space="preserve">The purpose of the </w:t>
      </w:r>
      <w:r w:rsidR="000372F9" w:rsidRPr="00296E90">
        <w:t xml:space="preserve">CCU </w:t>
      </w:r>
      <w:r w:rsidRPr="00296E90">
        <w:t xml:space="preserve">settlement function </w:t>
      </w:r>
      <w:r w:rsidR="009C0279" w:rsidRPr="00296E90">
        <w:t>shall be</w:t>
      </w:r>
      <w:r w:rsidR="00DC1FDA" w:rsidRPr="00296E90">
        <w:t xml:space="preserve"> the </w:t>
      </w:r>
      <w:r w:rsidR="007D6E4F" w:rsidRPr="00296E90">
        <w:t xml:space="preserve">calculation of the price for </w:t>
      </w:r>
      <w:r w:rsidR="007D6E4F" w:rsidRPr="00296E90">
        <w:rPr>
          <w:rFonts w:cstheme="minorHAnsi"/>
        </w:rPr>
        <w:t>the unintended exchanges of energy for each TSO-TSO settlement period and</w:t>
      </w:r>
      <w:r w:rsidR="00203B7F">
        <w:rPr>
          <w:rFonts w:cstheme="minorHAnsi"/>
        </w:rPr>
        <w:t xml:space="preserve"> of</w:t>
      </w:r>
      <w:r w:rsidR="007D6E4F" w:rsidRPr="00296E90">
        <w:rPr>
          <w:rFonts w:cstheme="minorHAnsi"/>
        </w:rPr>
        <w:t xml:space="preserve"> the financial flows between all LFC blocks or LFC areas in SA CE as a result of unintended exchanges of energy for each TSO-TSO settlement period</w:t>
      </w:r>
      <w:r w:rsidR="007D6E4F" w:rsidRPr="00296E90">
        <w:t>, in accordance with Article 3 of this CCU</w:t>
      </w:r>
      <w:r w:rsidR="007D6E4F" w:rsidRPr="00296E90">
        <w:rPr>
          <w:rFonts w:cstheme="minorHAnsi"/>
        </w:rPr>
        <w:t xml:space="preserve">. </w:t>
      </w:r>
    </w:p>
    <w:p w14:paraId="5786590B" w14:textId="688F4624" w:rsidR="00FA0D5C" w:rsidRDefault="00FA0D5C">
      <w:pPr>
        <w:rPr>
          <w:rFonts w:ascii="Times New Roman" w:hAnsi="Times New Roman" w:cstheme="majorHAnsi"/>
          <w:b/>
          <w:color w:val="23236E" w:themeColor="text2"/>
          <w:sz w:val="24"/>
          <w:szCs w:val="24"/>
        </w:rPr>
      </w:pPr>
    </w:p>
    <w:p w14:paraId="11168AAD" w14:textId="0014FD56" w:rsidR="00AE3C67" w:rsidRDefault="00AE3C67" w:rsidP="00E17CBF">
      <w:pPr>
        <w:pStyle w:val="headline2"/>
      </w:pPr>
      <w:bookmarkStart w:id="52" w:name="_Toc510006484"/>
      <w:bookmarkStart w:id="53" w:name="_Toc510507376"/>
      <w:bookmarkStart w:id="54" w:name="_Toc510522103"/>
      <w:bookmarkStart w:id="55" w:name="_Toc509993364"/>
      <w:bookmarkStart w:id="56" w:name="_Toc32931252"/>
      <w:r>
        <w:t>Article 6</w:t>
      </w:r>
      <w:bookmarkEnd w:id="52"/>
      <w:r w:rsidR="0001415A" w:rsidRPr="00992ABA">
        <w:br/>
      </w:r>
      <w:bookmarkStart w:id="57" w:name="_Toc510006485"/>
      <w:r>
        <w:t>Settlement period</w:t>
      </w:r>
      <w:bookmarkEnd w:id="53"/>
      <w:bookmarkEnd w:id="54"/>
      <w:bookmarkEnd w:id="57"/>
      <w:bookmarkEnd w:id="56"/>
    </w:p>
    <w:p w14:paraId="59D4BA45" w14:textId="63E06D1F" w:rsidR="00AE3C67" w:rsidRPr="00D455A7" w:rsidRDefault="00AE3C67" w:rsidP="00A81C0F">
      <w:pPr>
        <w:pStyle w:val="Listenabsatz"/>
        <w:numPr>
          <w:ilvl w:val="0"/>
          <w:numId w:val="36"/>
        </w:numPr>
        <w:spacing w:after="120" w:line="252" w:lineRule="auto"/>
        <w:ind w:left="357" w:hanging="357"/>
        <w:contextualSpacing w:val="0"/>
        <w:rPr>
          <w:lang w:val="en-US"/>
        </w:rPr>
      </w:pPr>
      <w:r w:rsidRPr="00F90A5B">
        <w:rPr>
          <w:lang w:val="en-US"/>
        </w:rPr>
        <w:t>The TSO-TSO settlement period shall be set at 15 minutes.</w:t>
      </w:r>
    </w:p>
    <w:p w14:paraId="50FACA3F" w14:textId="24C7D3B2" w:rsidR="00AE3C67" w:rsidRPr="00D455A7" w:rsidRDefault="00AE3C67" w:rsidP="00A81C0F">
      <w:pPr>
        <w:pStyle w:val="Listenabsatz"/>
        <w:numPr>
          <w:ilvl w:val="0"/>
          <w:numId w:val="36"/>
        </w:numPr>
        <w:spacing w:after="120" w:line="252" w:lineRule="auto"/>
        <w:ind w:left="357" w:hanging="357"/>
        <w:contextualSpacing w:val="0"/>
        <w:rPr>
          <w:lang w:val="en-US"/>
        </w:rPr>
      </w:pPr>
      <w:r w:rsidRPr="00D455A7">
        <w:rPr>
          <w:lang w:val="en-US"/>
        </w:rPr>
        <w:t xml:space="preserve">The TSO-TSO settlement period of each day shall begin </w:t>
      </w:r>
      <w:r w:rsidR="003A3692">
        <w:rPr>
          <w:lang w:val="en-GB"/>
        </w:rPr>
        <w:t>at 00:00 market time</w:t>
      </w:r>
      <w:r w:rsidRPr="00D455A7">
        <w:rPr>
          <w:lang w:val="en-US"/>
        </w:rPr>
        <w:t>. The TSO-TSO settlement periods shall be consecutive and not overlapping.</w:t>
      </w:r>
    </w:p>
    <w:p w14:paraId="31C22547" w14:textId="5B82C56B" w:rsidR="00AE3C67" w:rsidRDefault="00AE3C67">
      <w:pPr>
        <w:rPr>
          <w:rFonts w:ascii="Times New Roman" w:hAnsi="Times New Roman" w:cstheme="majorHAnsi"/>
          <w:b/>
          <w:color w:val="23236E" w:themeColor="text2"/>
          <w:sz w:val="24"/>
          <w:szCs w:val="24"/>
        </w:rPr>
      </w:pPr>
    </w:p>
    <w:p w14:paraId="5BAFF09D" w14:textId="10D93495" w:rsidR="00A834E1" w:rsidRPr="00431817" w:rsidRDefault="00A834E1" w:rsidP="00E17CBF">
      <w:pPr>
        <w:pStyle w:val="headline2"/>
      </w:pPr>
      <w:bookmarkStart w:id="58" w:name="_Toc510006486"/>
      <w:bookmarkStart w:id="59" w:name="_Toc510507377"/>
      <w:bookmarkStart w:id="60" w:name="_Toc510522104"/>
      <w:bookmarkStart w:id="61" w:name="_Toc32931253"/>
      <w:r>
        <w:t xml:space="preserve">Article </w:t>
      </w:r>
      <w:r w:rsidR="0001415A">
        <w:t>7</w:t>
      </w:r>
      <w:r w:rsidRPr="00992ABA">
        <w:br/>
      </w:r>
      <w:r>
        <w:t>Volume determination per TSO-TSO settlement period</w:t>
      </w:r>
      <w:bookmarkEnd w:id="55"/>
      <w:bookmarkEnd w:id="58"/>
      <w:bookmarkEnd w:id="59"/>
      <w:bookmarkEnd w:id="60"/>
      <w:bookmarkEnd w:id="61"/>
    </w:p>
    <w:p w14:paraId="21839315" w14:textId="27654991" w:rsidR="00D245F4" w:rsidRPr="00431908" w:rsidRDefault="00D245F4" w:rsidP="00A81C0F">
      <w:pPr>
        <w:pStyle w:val="textregular"/>
        <w:numPr>
          <w:ilvl w:val="0"/>
          <w:numId w:val="27"/>
        </w:numPr>
        <w:jc w:val="both"/>
      </w:pPr>
      <w:r w:rsidRPr="00431908">
        <w:t>The volume</w:t>
      </w:r>
      <w:r w:rsidR="00BB6626">
        <w:t>s</w:t>
      </w:r>
      <w:r w:rsidRPr="00431908">
        <w:t xml:space="preserve"> of intended exchange</w:t>
      </w:r>
      <w:r w:rsidR="00BB6626">
        <w:t>s of energy</w:t>
      </w:r>
      <w:r w:rsidRPr="00431908">
        <w:t xml:space="preserve"> purs</w:t>
      </w:r>
      <w:r w:rsidR="00BB6626">
        <w:t xml:space="preserve">uant of the </w:t>
      </w:r>
      <w:r w:rsidR="007C701F">
        <w:t>EB Regulation</w:t>
      </w:r>
      <w:r w:rsidR="00BB6626">
        <w:t xml:space="preserve"> Articles 50(1)</w:t>
      </w:r>
      <w:r w:rsidRPr="00431908">
        <w:t xml:space="preserve"> and 50(3)</w:t>
      </w:r>
      <w:r w:rsidR="00BB6626">
        <w:t xml:space="preserve"> of the </w:t>
      </w:r>
      <w:r w:rsidR="007C701F">
        <w:t>EB Regulation</w:t>
      </w:r>
      <w:r w:rsidR="00BB6626">
        <w:t xml:space="preserve"> are </w:t>
      </w:r>
      <w:r w:rsidR="005E500D">
        <w:t>determined</w:t>
      </w:r>
      <w:r w:rsidRPr="00431908">
        <w:t xml:space="preserve"> as follows:</w:t>
      </w:r>
    </w:p>
    <w:p w14:paraId="40FB8015" w14:textId="73C415B1" w:rsidR="00E42140" w:rsidRPr="00431908" w:rsidRDefault="00E42140" w:rsidP="00E42140">
      <w:pPr>
        <w:pStyle w:val="textregular"/>
        <w:numPr>
          <w:ilvl w:val="0"/>
          <w:numId w:val="39"/>
        </w:numPr>
        <w:ind w:left="1134"/>
        <w:jc w:val="both"/>
      </w:pPr>
      <w:r w:rsidRPr="00431817">
        <w:t>The volume of intended exchange</w:t>
      </w:r>
      <w:r w:rsidR="004B5786">
        <w:t>s of energy</w:t>
      </w:r>
      <w:r w:rsidRPr="00431817">
        <w:t xml:space="preserve"> as </w:t>
      </w:r>
      <w:r w:rsidR="004B5786">
        <w:t>a</w:t>
      </w:r>
      <w:r w:rsidRPr="00431817">
        <w:t xml:space="preserve"> result of the reserve replacement process pursuant </w:t>
      </w:r>
      <w:r>
        <w:t xml:space="preserve">Article </w:t>
      </w:r>
      <w:r w:rsidRPr="00431908">
        <w:t xml:space="preserve">50(1)(a) of the </w:t>
      </w:r>
      <w:r w:rsidR="007C701F">
        <w:t>EB Regulation</w:t>
      </w:r>
      <w:r w:rsidRPr="00431908">
        <w:t xml:space="preserve"> is contained in the aggregated netted external schedules. </w:t>
      </w:r>
    </w:p>
    <w:p w14:paraId="0B6D6C24" w14:textId="44811538" w:rsidR="00E42140" w:rsidRPr="00431908" w:rsidRDefault="00E42140" w:rsidP="00E42140">
      <w:pPr>
        <w:pStyle w:val="textregular"/>
        <w:numPr>
          <w:ilvl w:val="0"/>
          <w:numId w:val="39"/>
        </w:numPr>
        <w:ind w:left="1134"/>
        <w:jc w:val="both"/>
      </w:pPr>
      <w:r w:rsidRPr="00431908">
        <w:t>The volume of intended exchange</w:t>
      </w:r>
      <w:r w:rsidR="0017088D">
        <w:t>s</w:t>
      </w:r>
      <w:r w:rsidR="0017088D" w:rsidRPr="0017088D">
        <w:t xml:space="preserve"> </w:t>
      </w:r>
      <w:r w:rsidR="0017088D">
        <w:t>of energy</w:t>
      </w:r>
      <w:r w:rsidRPr="00431908">
        <w:t xml:space="preserve"> as the result of the frequency restoration process with manual activation pursuant Article 50(1)(b) of the </w:t>
      </w:r>
      <w:r w:rsidR="007C701F">
        <w:t>EB Regulation</w:t>
      </w:r>
      <w:r w:rsidRPr="00431908">
        <w:t xml:space="preserve"> is equal to the volume as </w:t>
      </w:r>
      <w:r w:rsidR="00980696">
        <w:t xml:space="preserve">reported in the </w:t>
      </w:r>
      <w:r w:rsidR="0090324E">
        <w:t xml:space="preserve">aggregated netted external schedules and/or the </w:t>
      </w:r>
      <w:r w:rsidR="00980696">
        <w:t xml:space="preserve">accounting data </w:t>
      </w:r>
      <w:r w:rsidR="000F4D26">
        <w:t>by the TSOs of</w:t>
      </w:r>
      <w:r w:rsidR="00980696">
        <w:t xml:space="preserve"> the LFC areas</w:t>
      </w:r>
      <w:r w:rsidRPr="00431908">
        <w:t xml:space="preserve">. </w:t>
      </w:r>
    </w:p>
    <w:p w14:paraId="7FDA51A1" w14:textId="2717F12B" w:rsidR="00E42140" w:rsidRPr="00431908" w:rsidRDefault="00E42140" w:rsidP="00980696">
      <w:pPr>
        <w:pStyle w:val="textregular"/>
        <w:numPr>
          <w:ilvl w:val="0"/>
          <w:numId w:val="39"/>
        </w:numPr>
        <w:ind w:left="1134"/>
        <w:jc w:val="both"/>
      </w:pPr>
      <w:r w:rsidRPr="00431908">
        <w:t>The volume of intended exchange</w:t>
      </w:r>
      <w:r w:rsidR="0017088D">
        <w:t>s</w:t>
      </w:r>
      <w:r w:rsidR="0017088D" w:rsidRPr="0017088D">
        <w:t xml:space="preserve"> </w:t>
      </w:r>
      <w:r w:rsidR="0017088D">
        <w:t>of energy</w:t>
      </w:r>
      <w:r w:rsidRPr="00431908">
        <w:t xml:space="preserve"> as the result of the frequency restoration process with automatic activation pursuant Article 50(1)(c) of the </w:t>
      </w:r>
      <w:r w:rsidR="007C701F">
        <w:t>EB Regulation</w:t>
      </w:r>
      <w:r w:rsidRPr="00431908">
        <w:t xml:space="preserve"> is equal to the volume as </w:t>
      </w:r>
      <w:r w:rsidR="00980696">
        <w:t xml:space="preserve">reported in the accounting data </w:t>
      </w:r>
      <w:r w:rsidR="000F4D26">
        <w:t xml:space="preserve">by the TSOs of </w:t>
      </w:r>
      <w:r w:rsidR="00980696">
        <w:t>the LFC areas</w:t>
      </w:r>
      <w:r w:rsidR="00980696" w:rsidRPr="00431908">
        <w:t xml:space="preserve">. </w:t>
      </w:r>
    </w:p>
    <w:p w14:paraId="182A6B47" w14:textId="5C8BC0B5" w:rsidR="00E42140" w:rsidRPr="00431908" w:rsidRDefault="00E42140" w:rsidP="00980696">
      <w:pPr>
        <w:pStyle w:val="textregular"/>
        <w:numPr>
          <w:ilvl w:val="0"/>
          <w:numId w:val="39"/>
        </w:numPr>
        <w:ind w:left="1134"/>
        <w:jc w:val="both"/>
      </w:pPr>
      <w:r w:rsidRPr="00431908">
        <w:t>The volume of intended exchange</w:t>
      </w:r>
      <w:r w:rsidR="0017088D">
        <w:t>s of energy</w:t>
      </w:r>
      <w:r w:rsidRPr="00431817">
        <w:t xml:space="preserve"> as the result of the </w:t>
      </w:r>
      <w:r w:rsidRPr="00431908">
        <w:t xml:space="preserve">imbalance netting process pursuant Article 50(1)(d) of the </w:t>
      </w:r>
      <w:r w:rsidR="007C701F">
        <w:t>EB Regulation</w:t>
      </w:r>
      <w:r w:rsidRPr="00431908">
        <w:t xml:space="preserve"> is equal to the volume as </w:t>
      </w:r>
      <w:r w:rsidR="00980696">
        <w:t xml:space="preserve">reported in the accounting data </w:t>
      </w:r>
      <w:r w:rsidR="000F4D26">
        <w:t xml:space="preserve">by the TSOs of </w:t>
      </w:r>
      <w:r w:rsidR="00980696">
        <w:t>the LFC areas</w:t>
      </w:r>
      <w:r w:rsidR="00980696" w:rsidRPr="00431908">
        <w:t xml:space="preserve">. </w:t>
      </w:r>
    </w:p>
    <w:p w14:paraId="50E9FCAC" w14:textId="786CC188" w:rsidR="00A834E1" w:rsidRPr="00431908" w:rsidRDefault="00E42140" w:rsidP="00A81C0F">
      <w:pPr>
        <w:pStyle w:val="textregular"/>
        <w:numPr>
          <w:ilvl w:val="0"/>
          <w:numId w:val="39"/>
        </w:numPr>
        <w:ind w:left="1134"/>
        <w:jc w:val="both"/>
      </w:pPr>
      <w:r w:rsidRPr="00431908">
        <w:t>T</w:t>
      </w:r>
      <w:r w:rsidR="00A834E1" w:rsidRPr="00431908">
        <w:t>he volume of intended exchange</w:t>
      </w:r>
      <w:r w:rsidR="00FF2B09">
        <w:t>s of energy</w:t>
      </w:r>
      <w:r w:rsidR="00A834E1" w:rsidRPr="00431908">
        <w:t xml:space="preserve"> as the result of frequency containment process pursuant </w:t>
      </w:r>
      <w:r w:rsidR="00C762B3" w:rsidRPr="00431908">
        <w:t>Article</w:t>
      </w:r>
      <w:r w:rsidR="00545A32" w:rsidRPr="00431908">
        <w:t xml:space="preserve"> 50(3)</w:t>
      </w:r>
      <w:r w:rsidR="00A834E1" w:rsidRPr="00431908">
        <w:t xml:space="preserve">(a) </w:t>
      </w:r>
      <w:r w:rsidR="003A3E04" w:rsidRPr="00431908">
        <w:t xml:space="preserve">of the </w:t>
      </w:r>
      <w:r w:rsidR="007C701F">
        <w:t>EB Regulation</w:t>
      </w:r>
      <w:r w:rsidR="003A3E04" w:rsidRPr="00431908">
        <w:t xml:space="preserve"> </w:t>
      </w:r>
      <w:r w:rsidR="00A834E1" w:rsidRPr="00431908">
        <w:t>is calculated</w:t>
      </w:r>
      <w:r w:rsidR="000A4701" w:rsidRPr="00431908">
        <w:t xml:space="preserve"> by the </w:t>
      </w:r>
      <w:r w:rsidR="000B3826">
        <w:t>CCFR</w:t>
      </w:r>
      <w:r w:rsidR="000372F9">
        <w:t xml:space="preserve"> </w:t>
      </w:r>
      <w:r w:rsidR="000A4701" w:rsidRPr="00431908">
        <w:t>accounting function</w:t>
      </w:r>
      <w:r w:rsidR="00A834E1" w:rsidRPr="00431908">
        <w:t xml:space="preserve"> for each LFC block </w:t>
      </w:r>
      <w:r w:rsidR="005F1317" w:rsidRPr="00431908">
        <w:t xml:space="preserve">or LFC </w:t>
      </w:r>
      <w:r w:rsidR="00B101A4" w:rsidRPr="00431908">
        <w:t>area</w:t>
      </w:r>
      <w:r w:rsidR="005F1317" w:rsidRPr="00431908">
        <w:t xml:space="preserve"> </w:t>
      </w:r>
      <w:r w:rsidR="00F276A3" w:rsidRPr="00431908">
        <w:t>per</w:t>
      </w:r>
      <w:r w:rsidR="00A834E1" w:rsidRPr="00431908">
        <w:t xml:space="preserve"> TSO-TSO settlement period as the product of the notified</w:t>
      </w:r>
      <w:r w:rsidR="00A834E1" w:rsidRPr="00431817">
        <w:t xml:space="preserve"> k-factor and the </w:t>
      </w:r>
      <w:r w:rsidR="00A834E1" w:rsidRPr="00431908">
        <w:t>average frequency deviation for that TSO-TSO-settlement period</w:t>
      </w:r>
      <w:r w:rsidR="008E506D">
        <w:t>, in accordance with the CCFR</w:t>
      </w:r>
      <w:r w:rsidR="00A834E1" w:rsidRPr="00431908">
        <w:t>.</w:t>
      </w:r>
    </w:p>
    <w:p w14:paraId="75D2F4D1" w14:textId="41C755A1" w:rsidR="00545A32" w:rsidRPr="00431908" w:rsidRDefault="00545A32" w:rsidP="00A81C0F">
      <w:pPr>
        <w:pStyle w:val="textregular"/>
        <w:numPr>
          <w:ilvl w:val="0"/>
          <w:numId w:val="39"/>
        </w:numPr>
        <w:ind w:left="1134"/>
        <w:jc w:val="both"/>
      </w:pPr>
      <w:r w:rsidRPr="00431908">
        <w:t>The volume of intended exchange</w:t>
      </w:r>
      <w:r w:rsidR="00FF2B09">
        <w:t>s of energy</w:t>
      </w:r>
      <w:r w:rsidRPr="00431908">
        <w:t xml:space="preserve"> as the result of ramping period pursuant Article 50(3)(b) of the </w:t>
      </w:r>
      <w:r w:rsidR="007C701F">
        <w:t>EB Regulation</w:t>
      </w:r>
      <w:r w:rsidRPr="00431908">
        <w:t xml:space="preserve"> and Article 136 of the </w:t>
      </w:r>
      <w:r w:rsidR="007C701F">
        <w:t>SO Regulation</w:t>
      </w:r>
      <w:r w:rsidRPr="00431908">
        <w:t xml:space="preserve"> is calculated</w:t>
      </w:r>
      <w:r w:rsidR="00511F7F" w:rsidRPr="00431908">
        <w:t xml:space="preserve"> by the</w:t>
      </w:r>
      <w:r w:rsidR="000372F9">
        <w:t xml:space="preserve"> </w:t>
      </w:r>
      <w:r w:rsidR="000B3826">
        <w:t>CCFR</w:t>
      </w:r>
      <w:r w:rsidR="00511F7F" w:rsidRPr="00431908">
        <w:t xml:space="preserve"> accounting function</w:t>
      </w:r>
      <w:r w:rsidRPr="00431908">
        <w:t xml:space="preserve"> for each LFC block or LFC area and per TSO-TSO settlement period</w:t>
      </w:r>
      <w:r w:rsidR="008E506D">
        <w:t>, in accordance with the CCFR.</w:t>
      </w:r>
    </w:p>
    <w:p w14:paraId="760C0BBA" w14:textId="5F57F89E" w:rsidR="005357A8" w:rsidRPr="00431817" w:rsidRDefault="00DC7F71" w:rsidP="00A81C0F">
      <w:pPr>
        <w:pStyle w:val="textregular"/>
        <w:numPr>
          <w:ilvl w:val="0"/>
          <w:numId w:val="39"/>
        </w:numPr>
        <w:ind w:left="1134"/>
        <w:jc w:val="both"/>
      </w:pPr>
      <w:r w:rsidRPr="00431817">
        <w:t>The volume of intended exchange</w:t>
      </w:r>
      <w:r w:rsidR="00FF2B09">
        <w:t>s of energy</w:t>
      </w:r>
      <w:r w:rsidRPr="00431817">
        <w:t xml:space="preserve"> as the result of bilateral or multilat</w:t>
      </w:r>
      <w:r w:rsidR="00545A32">
        <w:t>eral agreements via virtual tie-</w:t>
      </w:r>
      <w:r w:rsidRPr="00431817">
        <w:t xml:space="preserve">lines that are not covered by the previous points is equal to the volume as </w:t>
      </w:r>
      <w:r w:rsidR="00980696">
        <w:t>reported in the accounting data by</w:t>
      </w:r>
      <w:r w:rsidRPr="00431817">
        <w:t xml:space="preserve"> the </w:t>
      </w:r>
      <w:r w:rsidR="000F4D26">
        <w:t>TSOs of the</w:t>
      </w:r>
      <w:r w:rsidRPr="00431817">
        <w:t xml:space="preserve"> </w:t>
      </w:r>
      <w:r w:rsidR="000F4D26">
        <w:t xml:space="preserve">respective </w:t>
      </w:r>
      <w:r w:rsidRPr="00431817">
        <w:t xml:space="preserve">LFC areas. </w:t>
      </w:r>
    </w:p>
    <w:p w14:paraId="71B7CB31" w14:textId="4A76B2E9" w:rsidR="00A834E1" w:rsidRPr="00431817" w:rsidRDefault="00A834E1" w:rsidP="00296E90">
      <w:pPr>
        <w:pStyle w:val="textregular"/>
        <w:numPr>
          <w:ilvl w:val="0"/>
          <w:numId w:val="27"/>
        </w:numPr>
        <w:jc w:val="both"/>
      </w:pPr>
      <w:r w:rsidRPr="00431817">
        <w:t>The volume of unintended exchange</w:t>
      </w:r>
      <w:r w:rsidR="005B2D36">
        <w:t>s of energy</w:t>
      </w:r>
      <w:r w:rsidRPr="00431817">
        <w:t xml:space="preserve"> pursuant </w:t>
      </w:r>
      <w:r w:rsidR="005B2D36">
        <w:t xml:space="preserve">to </w:t>
      </w:r>
      <w:r w:rsidRPr="00431817">
        <w:t>Art</w:t>
      </w:r>
      <w:r w:rsidR="00C762B3">
        <w:t>icle</w:t>
      </w:r>
      <w:r w:rsidR="00545A32">
        <w:t xml:space="preserve"> 51</w:t>
      </w:r>
      <w:r w:rsidRPr="00431817">
        <w:t>(1)</w:t>
      </w:r>
      <w:r w:rsidR="003A3E04" w:rsidRPr="00431817">
        <w:t xml:space="preserve"> of the </w:t>
      </w:r>
      <w:r w:rsidR="007C701F">
        <w:t>EB Regulation</w:t>
      </w:r>
      <w:r w:rsidRPr="00431817">
        <w:t xml:space="preserve"> is calculated</w:t>
      </w:r>
      <w:r w:rsidR="00B128F5">
        <w:t>,</w:t>
      </w:r>
      <w:r w:rsidRPr="00431817">
        <w:t xml:space="preserve"> for each LFC </w:t>
      </w:r>
      <w:r w:rsidR="00C95149" w:rsidRPr="00431817">
        <w:t>b</w:t>
      </w:r>
      <w:r w:rsidRPr="00431817">
        <w:t xml:space="preserve">lock </w:t>
      </w:r>
      <w:r w:rsidR="00C95149" w:rsidRPr="00431817">
        <w:t>or LFC a</w:t>
      </w:r>
      <w:r w:rsidR="005F1317" w:rsidRPr="00431817">
        <w:t xml:space="preserve">rea </w:t>
      </w:r>
      <w:r w:rsidR="00307321">
        <w:t xml:space="preserve">per </w:t>
      </w:r>
      <w:r w:rsidRPr="00431817">
        <w:t>TSO-TSO settlement period</w:t>
      </w:r>
      <w:r w:rsidR="00B128F5">
        <w:t>,</w:t>
      </w:r>
      <w:r w:rsidRPr="00431817">
        <w:t xml:space="preserve"> as the difference </w:t>
      </w:r>
      <w:r w:rsidR="00307321">
        <w:t>between</w:t>
      </w:r>
      <w:r w:rsidR="00307321" w:rsidRPr="00431817">
        <w:t xml:space="preserve"> </w:t>
      </w:r>
      <w:r w:rsidRPr="00431817">
        <w:t xml:space="preserve">the </w:t>
      </w:r>
      <w:r w:rsidR="00B128F5" w:rsidRPr="00431817">
        <w:t>exchange</w:t>
      </w:r>
      <w:r w:rsidR="00B128F5">
        <w:t>s</w:t>
      </w:r>
      <w:r w:rsidR="00B128F5" w:rsidRPr="00431817">
        <w:t xml:space="preserve"> </w:t>
      </w:r>
      <w:r w:rsidR="00B128F5">
        <w:t xml:space="preserve">of </w:t>
      </w:r>
      <w:r w:rsidR="00856932" w:rsidRPr="00431817">
        <w:t>energy according to the accounting data</w:t>
      </w:r>
      <w:r w:rsidR="00307321">
        <w:t xml:space="preserve"> and </w:t>
      </w:r>
      <w:r w:rsidRPr="00431817">
        <w:t xml:space="preserve">the sum of </w:t>
      </w:r>
      <w:r w:rsidRPr="00296E90">
        <w:t xml:space="preserve">the </w:t>
      </w:r>
      <w:r w:rsidR="00861E0A" w:rsidRPr="00296E90">
        <w:t>ANES</w:t>
      </w:r>
      <w:r w:rsidRPr="00296E90">
        <w:t xml:space="preserve"> and </w:t>
      </w:r>
      <w:r w:rsidR="008E506D" w:rsidRPr="00296E90">
        <w:t xml:space="preserve">all </w:t>
      </w:r>
      <w:r w:rsidRPr="00296E90">
        <w:t xml:space="preserve">exchanges </w:t>
      </w:r>
      <w:r w:rsidR="00054DCE">
        <w:t xml:space="preserve">of energy </w:t>
      </w:r>
      <w:r w:rsidRPr="00296E90">
        <w:t xml:space="preserve">as a result of </w:t>
      </w:r>
      <w:r w:rsidR="008E506D" w:rsidRPr="00296E90">
        <w:t>Article 7</w:t>
      </w:r>
      <w:r w:rsidR="008E506D">
        <w:t>(1) of this CCU</w:t>
      </w:r>
      <w:r w:rsidRPr="00431817">
        <w:t>.</w:t>
      </w:r>
    </w:p>
    <w:p w14:paraId="1F5E12A2" w14:textId="77777777" w:rsidR="00CE4037" w:rsidRDefault="00CE4037">
      <w:pPr>
        <w:rPr>
          <w:rFonts w:ascii="Times New Roman" w:hAnsi="Times New Roman" w:cstheme="majorHAnsi"/>
          <w:b/>
          <w:color w:val="23236E" w:themeColor="text2"/>
          <w:sz w:val="24"/>
          <w:szCs w:val="24"/>
        </w:rPr>
      </w:pPr>
      <w:bookmarkStart w:id="62" w:name="_Toc432586786"/>
      <w:bookmarkStart w:id="63" w:name="_Toc432586806"/>
      <w:bookmarkStart w:id="64" w:name="_Toc413748339"/>
      <w:bookmarkEnd w:id="30"/>
      <w:bookmarkEnd w:id="31"/>
    </w:p>
    <w:p w14:paraId="38775213" w14:textId="6D1743A4" w:rsidR="005608D4" w:rsidRDefault="005608D4" w:rsidP="00E17CBF">
      <w:pPr>
        <w:pStyle w:val="headline2"/>
      </w:pPr>
      <w:bookmarkStart w:id="65" w:name="_Toc509993365"/>
      <w:bookmarkStart w:id="66" w:name="_Toc510006487"/>
      <w:bookmarkStart w:id="67" w:name="_Toc510507378"/>
      <w:bookmarkStart w:id="68" w:name="_Toc510522105"/>
      <w:bookmarkStart w:id="69" w:name="_Toc32931254"/>
      <w:r>
        <w:t xml:space="preserve">Article </w:t>
      </w:r>
      <w:r w:rsidR="0001415A">
        <w:t>8</w:t>
      </w:r>
      <w:r w:rsidR="00C50383" w:rsidRPr="00992ABA">
        <w:br/>
      </w:r>
      <w:r w:rsidR="00810A0F">
        <w:t xml:space="preserve">Pricing </w:t>
      </w:r>
      <w:r w:rsidR="00C50383">
        <w:t xml:space="preserve">rules for </w:t>
      </w:r>
      <w:r w:rsidR="006C447F">
        <w:t xml:space="preserve">TSO-TSO </w:t>
      </w:r>
      <w:r w:rsidR="000A31F3">
        <w:t>exchange</w:t>
      </w:r>
      <w:r w:rsidR="006C447F">
        <w:t>s</w:t>
      </w:r>
      <w:r w:rsidR="000A31F3">
        <w:t xml:space="preserve"> </w:t>
      </w:r>
      <w:r w:rsidR="008B2C61">
        <w:t xml:space="preserve">within </w:t>
      </w:r>
      <w:bookmarkEnd w:id="65"/>
      <w:bookmarkEnd w:id="66"/>
      <w:bookmarkEnd w:id="67"/>
      <w:r w:rsidR="00EB43A9">
        <w:t>SA CE</w:t>
      </w:r>
      <w:bookmarkEnd w:id="69"/>
    </w:p>
    <w:bookmarkEnd w:id="68"/>
    <w:p w14:paraId="420469B1" w14:textId="46BA6AF6" w:rsidR="006C447F" w:rsidRPr="00296E90" w:rsidRDefault="006C447F" w:rsidP="00A81C0F">
      <w:pPr>
        <w:pStyle w:val="textregular"/>
        <w:numPr>
          <w:ilvl w:val="0"/>
          <w:numId w:val="30"/>
        </w:numPr>
        <w:jc w:val="both"/>
      </w:pPr>
      <w:r>
        <w:t xml:space="preserve">The price for unintended </w:t>
      </w:r>
      <w:r w:rsidRPr="00296E90">
        <w:t>exchange</w:t>
      </w:r>
      <w:r w:rsidR="00B11A83" w:rsidRPr="00296E90">
        <w:t xml:space="preserve"> of</w:t>
      </w:r>
      <w:r w:rsidRPr="00296E90">
        <w:t xml:space="preserve"> </w:t>
      </w:r>
      <w:r w:rsidR="00856932" w:rsidRPr="00296E90">
        <w:t xml:space="preserve">energy </w:t>
      </w:r>
      <w:r w:rsidRPr="00296E90">
        <w:t xml:space="preserve">in accordance with </w:t>
      </w:r>
      <w:r w:rsidR="00C762B3" w:rsidRPr="00296E90">
        <w:t>Article</w:t>
      </w:r>
      <w:r w:rsidRPr="00296E90">
        <w:t xml:space="preserve"> 51(1)</w:t>
      </w:r>
      <w:r w:rsidR="00856932" w:rsidRPr="00296E90">
        <w:t xml:space="preserve"> of the </w:t>
      </w:r>
      <w:r w:rsidR="007C701F">
        <w:t>EB Regulation</w:t>
      </w:r>
      <w:r w:rsidRPr="00296E90">
        <w:t xml:space="preserve"> shall be calculated </w:t>
      </w:r>
      <w:r w:rsidR="007E4946" w:rsidRPr="00296E90">
        <w:t xml:space="preserve">by the entity entrusted with the </w:t>
      </w:r>
      <w:r w:rsidR="00B2722C" w:rsidRPr="00296E90">
        <w:t xml:space="preserve">CCU </w:t>
      </w:r>
      <w:r w:rsidR="007E4946" w:rsidRPr="00296E90">
        <w:t xml:space="preserve">settlement function </w:t>
      </w:r>
      <w:r w:rsidRPr="00296E90">
        <w:t xml:space="preserve">as the sum of the following components in </w:t>
      </w:r>
      <w:r w:rsidR="00D6498D" w:rsidRPr="00296E90">
        <w:t>EUR</w:t>
      </w:r>
      <w:r w:rsidR="00697820" w:rsidRPr="00296E90">
        <w:t>/MWh</w:t>
      </w:r>
      <w:r w:rsidR="00F659AC">
        <w:t>,</w:t>
      </w:r>
      <w:r w:rsidR="00697820" w:rsidRPr="00296E90">
        <w:t xml:space="preserve"> per TSO-TSO settlement period:</w:t>
      </w:r>
    </w:p>
    <w:p w14:paraId="27C2DD79" w14:textId="23538AA5" w:rsidR="00697820" w:rsidRPr="0039448F" w:rsidRDefault="00697820" w:rsidP="0039448F">
      <w:pPr>
        <w:pStyle w:val="textregular"/>
        <w:numPr>
          <w:ilvl w:val="1"/>
          <w:numId w:val="30"/>
        </w:numPr>
        <w:jc w:val="both"/>
      </w:pPr>
      <w:r w:rsidRPr="00296E90">
        <w:t>A reference price component calculated for any given TSO-TSO settlement period as</w:t>
      </w:r>
      <w:r w:rsidR="00A418D3" w:rsidRPr="00296E90">
        <w:t xml:space="preserve"> </w:t>
      </w:r>
      <w:r w:rsidRPr="00296E90">
        <w:t xml:space="preserve">the </w:t>
      </w:r>
      <w:r w:rsidR="005D0A7F">
        <w:t>weighted average</w:t>
      </w:r>
      <w:r w:rsidR="00A66841" w:rsidRPr="00296E90">
        <w:t xml:space="preserve"> day-ahead</w:t>
      </w:r>
      <w:r w:rsidRPr="00296E90">
        <w:t xml:space="preserve"> </w:t>
      </w:r>
      <w:r w:rsidR="00A66841" w:rsidRPr="00296E90">
        <w:t>market</w:t>
      </w:r>
      <w:r w:rsidRPr="00296E90">
        <w:t xml:space="preserve"> price of all LFC blocks </w:t>
      </w:r>
      <w:r w:rsidR="008146C4" w:rsidRPr="00296E90">
        <w:t xml:space="preserve">within </w:t>
      </w:r>
      <w:r w:rsidR="00494CDE" w:rsidRPr="00296E90">
        <w:t>SA CE</w:t>
      </w:r>
      <w:r w:rsidRPr="00296E90">
        <w:t xml:space="preserve"> for that </w:t>
      </w:r>
      <w:r w:rsidR="00064B61" w:rsidRPr="00296E90">
        <w:t>TSO-TSO settlement period, weig</w:t>
      </w:r>
      <w:r w:rsidRPr="00296E90">
        <w:t>h</w:t>
      </w:r>
      <w:r w:rsidR="00064B61" w:rsidRPr="00296E90">
        <w:t>t</w:t>
      </w:r>
      <w:r w:rsidRPr="00296E90">
        <w:t>ed by the</w:t>
      </w:r>
      <w:r w:rsidR="00D1658B" w:rsidRPr="00296E90">
        <w:t xml:space="preserve"> absolute value of the</w:t>
      </w:r>
      <w:r w:rsidRPr="00296E90">
        <w:t xml:space="preserve"> sum </w:t>
      </w:r>
      <w:r w:rsidR="00064B61" w:rsidRPr="00296E90">
        <w:t>of intended exchange</w:t>
      </w:r>
      <w:r w:rsidR="00F659AC">
        <w:t>s of energy</w:t>
      </w:r>
      <w:r w:rsidRPr="00296E90">
        <w:t xml:space="preserve"> pur</w:t>
      </w:r>
      <w:r w:rsidRPr="0039448F">
        <w:t xml:space="preserve">suant </w:t>
      </w:r>
      <w:r w:rsidR="00F659AC">
        <w:t xml:space="preserve">to </w:t>
      </w:r>
      <w:r w:rsidRPr="0039448F">
        <w:t>Art</w:t>
      </w:r>
      <w:r w:rsidR="005357A8" w:rsidRPr="0039448F">
        <w:t>icle</w:t>
      </w:r>
      <w:r w:rsidR="00064B61" w:rsidRPr="0039448F">
        <w:t xml:space="preserve"> 50(3)</w:t>
      </w:r>
      <w:r w:rsidR="009F24EF" w:rsidRPr="0039448F">
        <w:t>(</w:t>
      </w:r>
      <w:r w:rsidRPr="0039448F">
        <w:t>a)</w:t>
      </w:r>
      <w:r w:rsidR="00856932" w:rsidRPr="0039448F">
        <w:t xml:space="preserve"> of the </w:t>
      </w:r>
      <w:r w:rsidR="007C701F">
        <w:t>EB Regulation</w:t>
      </w:r>
      <w:r w:rsidRPr="0039448F">
        <w:t xml:space="preserve"> and unintended exchange</w:t>
      </w:r>
      <w:r w:rsidR="00F659AC">
        <w:t>s of energy</w:t>
      </w:r>
      <w:r w:rsidRPr="0039448F">
        <w:t xml:space="preserve"> pursuant</w:t>
      </w:r>
      <w:r w:rsidR="00F659AC">
        <w:t xml:space="preserve"> to</w:t>
      </w:r>
      <w:r w:rsidRPr="0039448F">
        <w:t xml:space="preserve"> Art</w:t>
      </w:r>
      <w:r w:rsidR="005357A8" w:rsidRPr="0039448F">
        <w:t>icle</w:t>
      </w:r>
      <w:r w:rsidR="00064B61" w:rsidRPr="0039448F">
        <w:t xml:space="preserve"> 51</w:t>
      </w:r>
      <w:r w:rsidRPr="0039448F">
        <w:t>(1)</w:t>
      </w:r>
      <w:r w:rsidR="00856932" w:rsidRPr="0039448F">
        <w:t xml:space="preserve"> of the </w:t>
      </w:r>
      <w:r w:rsidR="007C701F">
        <w:t>EB Regulation</w:t>
      </w:r>
      <w:r w:rsidR="00F659AC">
        <w:t>,</w:t>
      </w:r>
      <w:r w:rsidRPr="0039448F">
        <w:t xml:space="preserve"> of each LFC </w:t>
      </w:r>
      <w:r w:rsidR="00856932" w:rsidRPr="0039448F">
        <w:t>b</w:t>
      </w:r>
      <w:r w:rsidRPr="0039448F">
        <w:t>lock</w:t>
      </w:r>
      <w:r w:rsidR="00A46A6D" w:rsidRPr="0039448F">
        <w:t>.</w:t>
      </w:r>
      <w:r w:rsidR="004A3F92" w:rsidRPr="0039448F">
        <w:t xml:space="preserve"> The following </w:t>
      </w:r>
      <w:r w:rsidR="00E45F7E" w:rsidRPr="0039448F">
        <w:t>rules shall</w:t>
      </w:r>
      <w:r w:rsidR="004A3F92" w:rsidRPr="0039448F">
        <w:t xml:space="preserve"> apply:</w:t>
      </w:r>
    </w:p>
    <w:p w14:paraId="711C0D94" w14:textId="44836F87" w:rsidR="0039448F" w:rsidRPr="0039448F" w:rsidRDefault="00A60053" w:rsidP="0039448F">
      <w:pPr>
        <w:pStyle w:val="Listenabsatz"/>
        <w:numPr>
          <w:ilvl w:val="2"/>
          <w:numId w:val="29"/>
        </w:numPr>
        <w:spacing w:line="252" w:lineRule="auto"/>
      </w:pPr>
      <w:r w:rsidRPr="0039448F">
        <w:t>In case there is more than one day-ahead market price per LFC block</w:t>
      </w:r>
      <w:r w:rsidR="005D0A7F">
        <w:rPr>
          <w:lang w:val="en-GB"/>
        </w:rPr>
        <w:t>, when the LFC block consists of more than one LFC area,</w:t>
      </w:r>
      <w:r w:rsidRPr="0039448F">
        <w:t xml:space="preserve"> for that TSO-TSO settlement period, a weighted </w:t>
      </w:r>
      <w:r w:rsidRPr="00296E90">
        <w:t>average price is calculated by the entity entrusted with the settlement function and used in 8(1)(a)</w:t>
      </w:r>
      <w:r w:rsidR="00B11A83" w:rsidRPr="00296E90">
        <w:t xml:space="preserve"> </w:t>
      </w:r>
      <w:bookmarkStart w:id="70" w:name="_Hlk7472804"/>
      <w:r w:rsidR="00B11A83" w:rsidRPr="00296E90">
        <w:t>for the respective LFC block</w:t>
      </w:r>
      <w:bookmarkEnd w:id="70"/>
      <w:r w:rsidRPr="00296E90">
        <w:t xml:space="preserve">. The weighted average price </w:t>
      </w:r>
      <w:bookmarkStart w:id="71" w:name="_Hlk7472828"/>
      <w:r w:rsidR="00B11A83" w:rsidRPr="00296E90">
        <w:t xml:space="preserve">of an LFC block </w:t>
      </w:r>
      <w:bookmarkEnd w:id="71"/>
      <w:r w:rsidRPr="00296E90">
        <w:t>is calculated by</w:t>
      </w:r>
      <w:r w:rsidRPr="0039448F">
        <w:t xml:space="preserve"> weighting the day-ahead market prices of the LFC areas in that LFC block with the respective notified k-factor of </w:t>
      </w:r>
      <w:r w:rsidR="007605E6" w:rsidRPr="0039448F">
        <w:t>each</w:t>
      </w:r>
      <w:r w:rsidRPr="0039448F">
        <w:t xml:space="preserve"> LFC area. If there is no day-ahead market price in a</w:t>
      </w:r>
      <w:r w:rsidR="0001473E" w:rsidRPr="0039448F">
        <w:t>n</w:t>
      </w:r>
      <w:r w:rsidRPr="0039448F">
        <w:t xml:space="preserve"> LFC area within th</w:t>
      </w:r>
      <w:r w:rsidR="0001473E" w:rsidRPr="0039448F">
        <w:t>e</w:t>
      </w:r>
      <w:r w:rsidRPr="0039448F">
        <w:t xml:space="preserve"> LFC block, this LFC area is not considered for the calculation of the weighted average price</w:t>
      </w:r>
      <w:r w:rsidR="00F659AC">
        <w:t xml:space="preserve"> </w:t>
      </w:r>
      <w:r w:rsidR="00F659AC" w:rsidRPr="00296E90">
        <w:t xml:space="preserve">of </w:t>
      </w:r>
      <w:r w:rsidR="00F659AC">
        <w:t>the</w:t>
      </w:r>
      <w:r w:rsidR="00F659AC" w:rsidRPr="00296E90">
        <w:t xml:space="preserve"> LFC block</w:t>
      </w:r>
      <w:r w:rsidRPr="0039448F">
        <w:t>.</w:t>
      </w:r>
    </w:p>
    <w:p w14:paraId="5A598033" w14:textId="6725D8FA" w:rsidR="007E2F1B" w:rsidRPr="0039448F" w:rsidRDefault="007E2F1B" w:rsidP="00E17CBF">
      <w:pPr>
        <w:pStyle w:val="Listenabsatz"/>
        <w:numPr>
          <w:ilvl w:val="2"/>
          <w:numId w:val="29"/>
        </w:numPr>
        <w:spacing w:line="252" w:lineRule="auto"/>
        <w:rPr>
          <w:lang w:val="en-GB"/>
        </w:rPr>
      </w:pPr>
      <w:r w:rsidRPr="0039448F">
        <w:rPr>
          <w:lang w:val="en-GB"/>
        </w:rPr>
        <w:t xml:space="preserve">In case there are more than one </w:t>
      </w:r>
      <w:r w:rsidRPr="0039448F">
        <w:t xml:space="preserve">day-ahead market price </w:t>
      </w:r>
      <w:r w:rsidRPr="0039448F">
        <w:rPr>
          <w:lang w:val="en-GB"/>
        </w:rPr>
        <w:t xml:space="preserve">in an LFC area for that TSO-TSO settlement period, the TSO operating in the LFC </w:t>
      </w:r>
      <w:r w:rsidR="00296E90">
        <w:rPr>
          <w:lang w:val="en-GB"/>
        </w:rPr>
        <w:t>a</w:t>
      </w:r>
      <w:r w:rsidRPr="0039448F">
        <w:rPr>
          <w:lang w:val="en-GB"/>
        </w:rPr>
        <w:t xml:space="preserve">rea may decide which price or prices to utilise for defining the day-ahead market price of the </w:t>
      </w:r>
      <w:r w:rsidR="005D0A7F">
        <w:rPr>
          <w:lang w:val="en-GB"/>
        </w:rPr>
        <w:t>bidding zone</w:t>
      </w:r>
      <w:r w:rsidR="00CC1AA8">
        <w:rPr>
          <w:lang w:val="en-GB"/>
        </w:rPr>
        <w:t>, based on the border where the unintended exchange occurs.</w:t>
      </w:r>
      <w:bookmarkStart w:id="72" w:name="_GoBack"/>
      <w:bookmarkEnd w:id="72"/>
    </w:p>
    <w:p w14:paraId="7C352DDC" w14:textId="31D80435" w:rsidR="00697820" w:rsidRDefault="004A3F92" w:rsidP="00E17CBF">
      <w:pPr>
        <w:pStyle w:val="Listenabsatz"/>
        <w:numPr>
          <w:ilvl w:val="2"/>
          <w:numId w:val="29"/>
        </w:numPr>
        <w:spacing w:line="252" w:lineRule="auto"/>
        <w:rPr>
          <w:lang w:val="en-GB"/>
        </w:rPr>
      </w:pPr>
      <w:r>
        <w:rPr>
          <w:lang w:val="en-GB"/>
        </w:rPr>
        <w:t>I</w:t>
      </w:r>
      <w:r w:rsidR="00697820">
        <w:rPr>
          <w:lang w:val="en-GB"/>
        </w:rPr>
        <w:t xml:space="preserve">n case there is no </w:t>
      </w:r>
      <w:r w:rsidR="00A66841">
        <w:t>day-ahead</w:t>
      </w:r>
      <w:r w:rsidR="00A66841" w:rsidRPr="00A418D3">
        <w:t xml:space="preserve"> </w:t>
      </w:r>
      <w:r w:rsidR="00A66841">
        <w:t>market</w:t>
      </w:r>
      <w:r w:rsidR="00A66841" w:rsidRPr="00A418D3">
        <w:t xml:space="preserve"> price </w:t>
      </w:r>
      <w:r w:rsidR="00697820">
        <w:rPr>
          <w:lang w:val="en-GB"/>
        </w:rPr>
        <w:t>in a</w:t>
      </w:r>
      <w:r w:rsidR="00064B61">
        <w:rPr>
          <w:lang w:val="en-GB"/>
        </w:rPr>
        <w:t>n</w:t>
      </w:r>
      <w:r w:rsidR="00697820">
        <w:rPr>
          <w:lang w:val="en-GB"/>
        </w:rPr>
        <w:t xml:space="preserve"> LFC block </w:t>
      </w:r>
      <w:r w:rsidR="00CC3E28">
        <w:rPr>
          <w:lang w:val="en-GB"/>
        </w:rPr>
        <w:t>for that given TSO-TSO settlement period</w:t>
      </w:r>
      <w:r w:rsidR="00064B61">
        <w:rPr>
          <w:lang w:val="en-GB"/>
        </w:rPr>
        <w:t>,</w:t>
      </w:r>
      <w:r w:rsidR="00CC3E28">
        <w:rPr>
          <w:lang w:val="en-GB"/>
        </w:rPr>
        <w:t xml:space="preserve"> </w:t>
      </w:r>
      <w:r w:rsidR="00697820">
        <w:rPr>
          <w:lang w:val="en-GB"/>
        </w:rPr>
        <w:t xml:space="preserve">the imbalance settlement price </w:t>
      </w:r>
      <w:r w:rsidR="00CC3E28">
        <w:rPr>
          <w:lang w:val="en-GB"/>
        </w:rPr>
        <w:t xml:space="preserve">for that LFC block for that given TSO-TSO settlement period </w:t>
      </w:r>
      <w:r w:rsidR="00697820">
        <w:rPr>
          <w:lang w:val="en-GB"/>
        </w:rPr>
        <w:t>is used</w:t>
      </w:r>
      <w:r w:rsidR="005917D9">
        <w:rPr>
          <w:lang w:val="en-GB"/>
        </w:rPr>
        <w:t xml:space="preserve"> in </w:t>
      </w:r>
      <w:r>
        <w:rPr>
          <w:lang w:val="en-GB"/>
        </w:rPr>
        <w:t>Article 8(1)</w:t>
      </w:r>
      <w:r w:rsidR="005917D9">
        <w:rPr>
          <w:lang w:val="en-GB"/>
        </w:rPr>
        <w:t>(</w:t>
      </w:r>
      <w:r w:rsidR="00A418D3">
        <w:rPr>
          <w:lang w:val="en-GB"/>
        </w:rPr>
        <w:t>a</w:t>
      </w:r>
      <w:r w:rsidR="005917D9">
        <w:rPr>
          <w:lang w:val="en-GB"/>
        </w:rPr>
        <w:t xml:space="preserve">) instead of a </w:t>
      </w:r>
      <w:r w:rsidR="00A66841">
        <w:t>day-ahead</w:t>
      </w:r>
      <w:r w:rsidR="00A66841" w:rsidRPr="00A418D3">
        <w:t xml:space="preserve"> </w:t>
      </w:r>
      <w:r w:rsidR="00A66841">
        <w:t>market</w:t>
      </w:r>
      <w:r w:rsidR="00A66841" w:rsidRPr="00A418D3">
        <w:t xml:space="preserve"> price</w:t>
      </w:r>
      <w:r w:rsidR="004B66D1">
        <w:rPr>
          <w:lang w:val="en-GB"/>
        </w:rPr>
        <w:t>.</w:t>
      </w:r>
      <w:r w:rsidR="00712D4E">
        <w:rPr>
          <w:lang w:val="en-GB"/>
        </w:rPr>
        <w:t xml:space="preserve"> In the case of dual pricing</w:t>
      </w:r>
      <w:r w:rsidR="00064B61">
        <w:rPr>
          <w:lang w:val="en-GB"/>
        </w:rPr>
        <w:t>,</w:t>
      </w:r>
      <w:r w:rsidR="00712D4E">
        <w:rPr>
          <w:lang w:val="en-GB"/>
        </w:rPr>
        <w:t xml:space="preserve"> an average price is calculated.</w:t>
      </w:r>
      <w:r w:rsidR="0064459C">
        <w:rPr>
          <w:lang w:val="en-GB"/>
        </w:rPr>
        <w:t xml:space="preserve"> </w:t>
      </w:r>
    </w:p>
    <w:p w14:paraId="47264457" w14:textId="54F05305" w:rsidR="005D0A7F" w:rsidRPr="005F1F64" w:rsidRDefault="005D0A7F" w:rsidP="00FB117E">
      <w:pPr>
        <w:pStyle w:val="Listenabsatz"/>
        <w:numPr>
          <w:ilvl w:val="2"/>
          <w:numId w:val="29"/>
        </w:numPr>
        <w:spacing w:line="252" w:lineRule="auto"/>
        <w:rPr>
          <w:lang w:val="en-GB"/>
        </w:rPr>
      </w:pPr>
      <w:r>
        <w:rPr>
          <w:lang w:val="en-GB"/>
        </w:rPr>
        <w:t>In case of full decoupling of the single day-ahead coupling, the day-ahead market price referred to in this paragraph (a) shall be replaced by the weighted average of the prices of the NEMOs’ hubs in the relevant bidding zone.</w:t>
      </w:r>
    </w:p>
    <w:p w14:paraId="6D5F96BB" w14:textId="49EBE960" w:rsidR="005A73D4" w:rsidRDefault="005A73D4" w:rsidP="00C771E2">
      <w:pPr>
        <w:pStyle w:val="textregular"/>
        <w:keepNext/>
        <w:keepLines/>
        <w:numPr>
          <w:ilvl w:val="1"/>
          <w:numId w:val="29"/>
        </w:numPr>
        <w:ind w:left="1077" w:hanging="357"/>
        <w:jc w:val="both"/>
      </w:pPr>
      <w:bookmarkStart w:id="73" w:name="_Hlk7473106"/>
      <w:r>
        <w:t>A frequency</w:t>
      </w:r>
      <w:r w:rsidR="00494CDE">
        <w:t>-</w:t>
      </w:r>
      <w:r>
        <w:t xml:space="preserve">dependent </w:t>
      </w:r>
      <w:r w:rsidR="00494CDE" w:rsidRPr="00296E90">
        <w:t>component</w:t>
      </w:r>
      <w:r w:rsidR="00431817">
        <w:t>,</w:t>
      </w:r>
      <w:r>
        <w:t xml:space="preserve"> applicable only </w:t>
      </w:r>
      <w:r w:rsidRPr="00296E90">
        <w:t xml:space="preserve">if the </w:t>
      </w:r>
      <w:r w:rsidR="007C1433" w:rsidRPr="00296E90">
        <w:t xml:space="preserve">absolute value of the </w:t>
      </w:r>
      <w:r w:rsidRPr="00296E90">
        <w:t xml:space="preserve">average frequency deviation over the TSO-TSO settlement period exceeds </w:t>
      </w:r>
      <w:r w:rsidR="007C1433" w:rsidRPr="00296E90">
        <w:t>the absolute value</w:t>
      </w:r>
      <w:r w:rsidR="007C1433">
        <w:t xml:space="preserve"> of the minimum</w:t>
      </w:r>
      <w:r>
        <w:t xml:space="preserve"> threshold value</w:t>
      </w:r>
      <w:r w:rsidR="00431817">
        <w:t xml:space="preserve"> (20 mHz)</w:t>
      </w:r>
      <w:r w:rsidR="007C1433">
        <w:t xml:space="preserve"> The frequency-dependent component </w:t>
      </w:r>
      <w:r>
        <w:t>is calculated as func</w:t>
      </w:r>
      <w:r w:rsidR="005F435C">
        <w:t xml:space="preserve">tion of the </w:t>
      </w:r>
      <w:r w:rsidR="00071EB4">
        <w:t xml:space="preserve">average </w:t>
      </w:r>
      <w:r w:rsidR="005F435C">
        <w:t>frequency deviation</w:t>
      </w:r>
      <w:r w:rsidR="00071EB4">
        <w:t xml:space="preserve"> </w:t>
      </w:r>
      <w:r w:rsidR="007C1433">
        <w:t>for each</w:t>
      </w:r>
      <w:r w:rsidR="00071EB4">
        <w:t xml:space="preserve"> TSO-TSO settlement period</w:t>
      </w:r>
      <w:r w:rsidR="0090324E">
        <w:t xml:space="preserve">, using a slope of </w:t>
      </w:r>
      <w:r w:rsidR="007C1433">
        <w:t>between the minimum threshold and the maximum threshold (</w:t>
      </w:r>
      <w:r w:rsidR="00F70B77">
        <w:t>two (2) EUR</w:t>
      </w:r>
      <w:r w:rsidR="0090324E">
        <w:t>/MWh/mHz</w:t>
      </w:r>
      <w:r w:rsidR="007C1433">
        <w:t>)</w:t>
      </w:r>
      <w:r w:rsidR="004A3F92">
        <w:t xml:space="preserve">. The following </w:t>
      </w:r>
      <w:r w:rsidR="00E45F7E">
        <w:t>rules shall</w:t>
      </w:r>
      <w:r w:rsidR="004A3F92">
        <w:t xml:space="preserve"> apply:</w:t>
      </w:r>
    </w:p>
    <w:p w14:paraId="7E91686D" w14:textId="77777777" w:rsidR="007C1433" w:rsidRDefault="007C1433" w:rsidP="007C1433">
      <w:pPr>
        <w:pStyle w:val="textregular"/>
        <w:numPr>
          <w:ilvl w:val="2"/>
          <w:numId w:val="29"/>
        </w:numPr>
        <w:jc w:val="both"/>
      </w:pPr>
      <w:r>
        <w:t>The absolute value of the minimum threshold value is 20 mHz.</w:t>
      </w:r>
    </w:p>
    <w:p w14:paraId="2B602BD0" w14:textId="77777777" w:rsidR="007C1433" w:rsidRDefault="007C1433" w:rsidP="007C1433">
      <w:pPr>
        <w:pStyle w:val="textregular"/>
        <w:numPr>
          <w:ilvl w:val="2"/>
          <w:numId w:val="29"/>
        </w:numPr>
        <w:jc w:val="both"/>
      </w:pPr>
      <w:r>
        <w:t>The absolute value of the maximum threshold value is 100 mHz.</w:t>
      </w:r>
    </w:p>
    <w:p w14:paraId="62200720" w14:textId="11333715" w:rsidR="007C1433" w:rsidRDefault="00F70B77" w:rsidP="007C1433">
      <w:pPr>
        <w:pStyle w:val="textregular"/>
        <w:numPr>
          <w:ilvl w:val="2"/>
          <w:numId w:val="29"/>
        </w:numPr>
        <w:jc w:val="both"/>
      </w:pPr>
      <w:r>
        <w:t>The slope is two (2) EUR</w:t>
      </w:r>
      <w:r w:rsidR="007C1433">
        <w:t>/MWh/mHz.</w:t>
      </w:r>
    </w:p>
    <w:p w14:paraId="3A042C61" w14:textId="3F5DF714" w:rsidR="005A73D4" w:rsidRDefault="005A73D4" w:rsidP="00C771E2">
      <w:pPr>
        <w:pStyle w:val="textregular"/>
        <w:numPr>
          <w:ilvl w:val="2"/>
          <w:numId w:val="29"/>
        </w:numPr>
        <w:jc w:val="both"/>
      </w:pPr>
      <w:r>
        <w:t xml:space="preserve">In case of </w:t>
      </w:r>
      <w:r w:rsidR="00552FD2">
        <w:t xml:space="preserve">a positive </w:t>
      </w:r>
      <w:r w:rsidR="00A248E0">
        <w:t xml:space="preserve">average </w:t>
      </w:r>
      <w:r w:rsidR="00552FD2">
        <w:t>frequency deviation</w:t>
      </w:r>
      <w:r>
        <w:t xml:space="preserve"> </w:t>
      </w:r>
      <w:r w:rsidR="00552FD2">
        <w:t>exceeding the</w:t>
      </w:r>
      <w:r w:rsidR="0054721C">
        <w:t xml:space="preserve"> minimum</w:t>
      </w:r>
      <w:r w:rsidR="00552FD2">
        <w:t xml:space="preserve"> threshold </w:t>
      </w:r>
      <w:r w:rsidR="00856932">
        <w:t>value</w:t>
      </w:r>
      <w:r w:rsidR="007649E3">
        <w:t xml:space="preserve"> in positive direction (+20 mHz), but not exceeding the maximum threshold value</w:t>
      </w:r>
      <w:r w:rsidR="00856932">
        <w:t xml:space="preserve"> </w:t>
      </w:r>
      <w:r w:rsidR="00552FD2">
        <w:t>in positive direction</w:t>
      </w:r>
      <w:r w:rsidR="00FE13FF">
        <w:t xml:space="preserve"> (+ 100 mHz)</w:t>
      </w:r>
      <w:r w:rsidR="00064B61">
        <w:t>,</w:t>
      </w:r>
      <w:r>
        <w:t xml:space="preserve"> </w:t>
      </w:r>
      <w:r w:rsidR="00552FD2">
        <w:t xml:space="preserve">this function is applied to the </w:t>
      </w:r>
      <w:r w:rsidR="00A248E0">
        <w:t xml:space="preserve">average </w:t>
      </w:r>
      <w:r>
        <w:t>f</w:t>
      </w:r>
      <w:r w:rsidR="00552FD2">
        <w:t xml:space="preserve">requency deviation </w:t>
      </w:r>
      <w:r w:rsidR="007649E3">
        <w:t>decreased with the absolute value of the minimum threshold value</w:t>
      </w:r>
      <w:r w:rsidR="007649E3" w:rsidDel="007649E3">
        <w:t xml:space="preserve"> </w:t>
      </w:r>
      <w:r w:rsidR="007649E3">
        <w:t>(</w:t>
      </w:r>
      <w:r w:rsidR="00552FD2">
        <w:t>20 mHz</w:t>
      </w:r>
      <w:r w:rsidR="007649E3">
        <w:t>)</w:t>
      </w:r>
      <w:r w:rsidR="004A3F92">
        <w:t>.</w:t>
      </w:r>
    </w:p>
    <w:p w14:paraId="4D2769B7" w14:textId="12DCA065" w:rsidR="005A73D4" w:rsidRDefault="005A73D4" w:rsidP="00C771E2">
      <w:pPr>
        <w:pStyle w:val="textregular"/>
        <w:numPr>
          <w:ilvl w:val="2"/>
          <w:numId w:val="29"/>
        </w:numPr>
        <w:jc w:val="both"/>
      </w:pPr>
      <w:r>
        <w:t xml:space="preserve">In case of </w:t>
      </w:r>
      <w:r w:rsidR="00552FD2">
        <w:t xml:space="preserve">a </w:t>
      </w:r>
      <w:r w:rsidR="004B66D1">
        <w:t xml:space="preserve">negative </w:t>
      </w:r>
      <w:r w:rsidR="007649E3">
        <w:t xml:space="preserve">average </w:t>
      </w:r>
      <w:r w:rsidR="004B66D1">
        <w:t>frequency deviation</w:t>
      </w:r>
      <w:r>
        <w:t xml:space="preserve"> </w:t>
      </w:r>
      <w:r w:rsidR="00552FD2">
        <w:t>exceeding the</w:t>
      </w:r>
      <w:r w:rsidR="007649E3">
        <w:t xml:space="preserve"> minimum</w:t>
      </w:r>
      <w:r w:rsidR="00552FD2">
        <w:t xml:space="preserve"> threshold value in negative direction</w:t>
      </w:r>
      <w:r w:rsidR="007649E3">
        <w:t xml:space="preserve"> (-20 mHz)</w:t>
      </w:r>
      <w:r w:rsidR="00064B61">
        <w:t>,</w:t>
      </w:r>
      <w:r w:rsidR="00552FD2">
        <w:t xml:space="preserve"> </w:t>
      </w:r>
      <w:r w:rsidR="00DB0F20">
        <w:t xml:space="preserve">but not exceeding the maximum threshold value in negative direction (- 100 mHz), </w:t>
      </w:r>
      <w:r w:rsidR="00552FD2">
        <w:t>this fu</w:t>
      </w:r>
      <w:r w:rsidR="001703AB">
        <w:t>n</w:t>
      </w:r>
      <w:r w:rsidR="00552FD2">
        <w:t xml:space="preserve">ction is applied to the frequency deviation </w:t>
      </w:r>
      <w:r w:rsidR="00DB0F20">
        <w:t>increased with the absolute value of the minimum threshold value (</w:t>
      </w:r>
      <w:r w:rsidR="00552FD2">
        <w:t>20 mHz</w:t>
      </w:r>
      <w:r w:rsidR="00DB0F20">
        <w:t>)</w:t>
      </w:r>
      <w:r w:rsidR="004A3F92">
        <w:t>.</w:t>
      </w:r>
    </w:p>
    <w:p w14:paraId="6E48C18A" w14:textId="0B086816" w:rsidR="00552FD2" w:rsidRDefault="00552FD2" w:rsidP="00C771E2">
      <w:pPr>
        <w:pStyle w:val="textregular"/>
        <w:numPr>
          <w:ilvl w:val="2"/>
          <w:numId w:val="29"/>
        </w:numPr>
        <w:jc w:val="both"/>
      </w:pPr>
      <w:r>
        <w:t xml:space="preserve">In case of a positive </w:t>
      </w:r>
      <w:r w:rsidR="00DB0F20">
        <w:t xml:space="preserve">average </w:t>
      </w:r>
      <w:r>
        <w:t xml:space="preserve">frequency deviation exceeding </w:t>
      </w:r>
      <w:r w:rsidR="00DB0F20">
        <w:t xml:space="preserve">the maximum threshold in positive direction (+ </w:t>
      </w:r>
      <w:r>
        <w:t>100 mHz</w:t>
      </w:r>
      <w:r w:rsidR="00DB0F20">
        <w:t>)</w:t>
      </w:r>
      <w:r w:rsidR="00064B61">
        <w:t>,</w:t>
      </w:r>
      <w:r>
        <w:t xml:space="preserve"> the frequency</w:t>
      </w:r>
      <w:r w:rsidR="00DB0F20">
        <w:t>-</w:t>
      </w:r>
      <w:r>
        <w:t xml:space="preserve">dependent </w:t>
      </w:r>
      <w:r w:rsidR="00DB0F20">
        <w:t>component</w:t>
      </w:r>
      <w:r>
        <w:t xml:space="preserve"> is set a</w:t>
      </w:r>
      <w:r w:rsidR="0092777E">
        <w:t>s</w:t>
      </w:r>
      <w:r>
        <w:t xml:space="preserve"> the frequency</w:t>
      </w:r>
      <w:r w:rsidR="0092777E">
        <w:t>-</w:t>
      </w:r>
      <w:r>
        <w:t xml:space="preserve">dependent </w:t>
      </w:r>
      <w:r w:rsidR="0092777E">
        <w:t>component</w:t>
      </w:r>
      <w:r>
        <w:t xml:space="preserve"> calculated at a frequency deviation of </w:t>
      </w:r>
      <w:r w:rsidR="0092777E">
        <w:t xml:space="preserve">the maximum threshold value in positive direction (+ </w:t>
      </w:r>
      <w:r>
        <w:t>100 mHz</w:t>
      </w:r>
      <w:r w:rsidR="0092777E">
        <w:t>)</w:t>
      </w:r>
      <w:r w:rsidR="004A3F92">
        <w:t>.</w:t>
      </w:r>
    </w:p>
    <w:p w14:paraId="1A8C2E89" w14:textId="4D6024BB" w:rsidR="00A67D09" w:rsidRDefault="00552FD2" w:rsidP="00B04DC7">
      <w:pPr>
        <w:pStyle w:val="textregular"/>
        <w:numPr>
          <w:ilvl w:val="2"/>
          <w:numId w:val="29"/>
        </w:numPr>
        <w:jc w:val="both"/>
      </w:pPr>
      <w:r>
        <w:t xml:space="preserve">In case of a negative frequency deviation exceeding </w:t>
      </w:r>
      <w:r w:rsidR="008611AE">
        <w:t>the maximum threshold in negative direction (</w:t>
      </w:r>
      <w:r>
        <w:t>-100 mHz</w:t>
      </w:r>
      <w:r w:rsidR="008611AE">
        <w:t>)</w:t>
      </w:r>
      <w:r w:rsidR="00064B61">
        <w:t>,</w:t>
      </w:r>
      <w:r>
        <w:t xml:space="preserve"> the frequency</w:t>
      </w:r>
      <w:r w:rsidR="00DB0F20">
        <w:t>-</w:t>
      </w:r>
      <w:r>
        <w:t>dependent</w:t>
      </w:r>
      <w:r w:rsidR="00DB0F20">
        <w:t xml:space="preserve"> component</w:t>
      </w:r>
      <w:r>
        <w:t>is set a</w:t>
      </w:r>
      <w:r w:rsidR="0092777E">
        <w:t>s</w:t>
      </w:r>
      <w:r>
        <w:t xml:space="preserve"> the frequency</w:t>
      </w:r>
      <w:r w:rsidR="00DB0F20">
        <w:t>-</w:t>
      </w:r>
      <w:r>
        <w:t xml:space="preserve">dependent </w:t>
      </w:r>
      <w:r w:rsidR="00DB0F20">
        <w:t>component</w:t>
      </w:r>
      <w:r>
        <w:t xml:space="preserve"> calculate</w:t>
      </w:r>
      <w:r w:rsidR="00064B61">
        <w:t xml:space="preserve">d at a frequency deviation of </w:t>
      </w:r>
      <w:r w:rsidR="0092777E">
        <w:t>the maximum threshold value in negative direction (</w:t>
      </w:r>
      <w:r>
        <w:t>-100 mHz</w:t>
      </w:r>
      <w:r w:rsidR="0092777E">
        <w:t>)</w:t>
      </w:r>
      <w:r w:rsidR="004A3F92">
        <w:t>.</w:t>
      </w:r>
    </w:p>
    <w:bookmarkEnd w:id="73"/>
    <w:p w14:paraId="73882255" w14:textId="77777777" w:rsidR="00B8685E" w:rsidRDefault="00B8685E" w:rsidP="00B8685E">
      <w:pPr>
        <w:pStyle w:val="textregular"/>
        <w:numPr>
          <w:ilvl w:val="2"/>
          <w:numId w:val="29"/>
        </w:numPr>
        <w:jc w:val="both"/>
      </w:pPr>
      <w:r>
        <w:t>In case of an HVDC system connecting two SA CE TSOs, the frequency-dependant component may be not applicable.</w:t>
      </w:r>
    </w:p>
    <w:p w14:paraId="5FD31D89" w14:textId="7DE73E82" w:rsidR="00E87B8B" w:rsidRDefault="00E87B8B" w:rsidP="00C771E2">
      <w:pPr>
        <w:pStyle w:val="textregular"/>
        <w:numPr>
          <w:ilvl w:val="0"/>
          <w:numId w:val="29"/>
        </w:numPr>
        <w:jc w:val="both"/>
      </w:pPr>
      <w:r>
        <w:t>According to Article 51(1)(a)</w:t>
      </w:r>
      <w:r w:rsidR="00064B61">
        <w:t xml:space="preserve"> of the </w:t>
      </w:r>
      <w:r w:rsidR="007C701F">
        <w:t>EB Regulation</w:t>
      </w:r>
      <w:r w:rsidR="004A3F92">
        <w:t>,</w:t>
      </w:r>
      <w:r>
        <w:t xml:space="preserve"> the price for unintended exchange</w:t>
      </w:r>
      <w:r w:rsidR="0092777E">
        <w:t>s of energy</w:t>
      </w:r>
      <w:r>
        <w:t xml:space="preserve"> shall reflect the price for balancing energy. According to Article 8(1)(a) of this CCU</w:t>
      </w:r>
      <w:r w:rsidR="00AE17B1">
        <w:t>,</w:t>
      </w:r>
      <w:r>
        <w:t xml:space="preserve"> day-ahead market prices, </w:t>
      </w:r>
      <w:r w:rsidR="00AE17B1">
        <w:t>which reflect</w:t>
      </w:r>
      <w:r>
        <w:t xml:space="preserve"> balancing prices, are used as one component to determine the price for unintended exchange</w:t>
      </w:r>
      <w:r w:rsidR="00F70B77">
        <w:t>s of energy</w:t>
      </w:r>
      <w:r w:rsidR="001409BF">
        <w:t>, without prejudice to Article 4(2)(i) of this CCU.</w:t>
      </w:r>
      <w:r>
        <w:t>.</w:t>
      </w:r>
      <w:r w:rsidR="00F70B77">
        <w:t xml:space="preserve"> </w:t>
      </w:r>
    </w:p>
    <w:p w14:paraId="23A256F3" w14:textId="7B65E752" w:rsidR="009D1020" w:rsidRDefault="009D1020" w:rsidP="00C771E2">
      <w:pPr>
        <w:pStyle w:val="textregular"/>
        <w:numPr>
          <w:ilvl w:val="0"/>
          <w:numId w:val="29"/>
        </w:numPr>
        <w:jc w:val="both"/>
      </w:pPr>
      <w:r>
        <w:t xml:space="preserve">In </w:t>
      </w:r>
      <w:r w:rsidRPr="009D1020">
        <w:t xml:space="preserve">the case of a network split </w:t>
      </w:r>
      <w:r w:rsidR="005F435C">
        <w:t xml:space="preserve">with </w:t>
      </w:r>
      <w:r w:rsidRPr="009D1020">
        <w:t>more than one LFC block disconnected</w:t>
      </w:r>
      <w:r w:rsidR="00856932">
        <w:t>,</w:t>
      </w:r>
      <w:r w:rsidRPr="009D1020">
        <w:t xml:space="preserve"> the </w:t>
      </w:r>
      <w:r w:rsidR="009E22F3">
        <w:t>frequency-dependa</w:t>
      </w:r>
      <w:r w:rsidR="005F435C">
        <w:t xml:space="preserve">nt component is set for each TSO-TSO-settlement period </w:t>
      </w:r>
      <w:r w:rsidR="00856932">
        <w:t xml:space="preserve">during </w:t>
      </w:r>
      <w:r w:rsidR="005F435C">
        <w:t xml:space="preserve">that network split at </w:t>
      </w:r>
      <w:r w:rsidR="00E51C68">
        <w:t>zero</w:t>
      </w:r>
      <w:r w:rsidR="009E22F3">
        <w:t xml:space="preserve"> (0)</w:t>
      </w:r>
      <w:r w:rsidR="004A3F92">
        <w:t xml:space="preserve"> EUR</w:t>
      </w:r>
      <w:r w:rsidR="005F435C">
        <w:t>/MWh</w:t>
      </w:r>
      <w:r w:rsidR="00772687">
        <w:t>/mHz</w:t>
      </w:r>
      <w:r w:rsidR="005F435C">
        <w:t xml:space="preserve"> per TSO-TSO settlement period</w:t>
      </w:r>
      <w:r>
        <w:t>.</w:t>
      </w:r>
    </w:p>
    <w:p w14:paraId="7DF5C0BB" w14:textId="7BE92136" w:rsidR="00FA0D5C" w:rsidRDefault="00FA0D5C">
      <w:pPr>
        <w:rPr>
          <w:rFonts w:ascii="Times New Roman" w:hAnsi="Times New Roman" w:cstheme="majorHAnsi"/>
          <w:b/>
          <w:color w:val="23236E" w:themeColor="text2"/>
          <w:sz w:val="24"/>
          <w:szCs w:val="24"/>
        </w:rPr>
      </w:pPr>
    </w:p>
    <w:p w14:paraId="652D50A3" w14:textId="0D7F4950" w:rsidR="002D7080" w:rsidRPr="00CF2038" w:rsidRDefault="00442D45" w:rsidP="00E17CBF">
      <w:pPr>
        <w:pStyle w:val="headline2"/>
      </w:pPr>
      <w:bookmarkStart w:id="74" w:name="_Toc509993366"/>
      <w:bookmarkStart w:id="75" w:name="_Toc510006488"/>
      <w:bookmarkStart w:id="76" w:name="_Toc510507379"/>
      <w:bookmarkStart w:id="77" w:name="_Toc510522106"/>
      <w:bookmarkStart w:id="78" w:name="_Toc32931255"/>
      <w:r w:rsidRPr="00992ABA">
        <w:t>Article</w:t>
      </w:r>
      <w:r w:rsidR="00295535">
        <w:t xml:space="preserve"> </w:t>
      </w:r>
      <w:r w:rsidR="0001415A">
        <w:t>9</w:t>
      </w:r>
      <w:r w:rsidR="00924064">
        <w:br/>
      </w:r>
      <w:r w:rsidR="002D7080" w:rsidRPr="00CF2038">
        <w:t xml:space="preserve">Publication and implementation of the </w:t>
      </w:r>
      <w:bookmarkEnd w:id="74"/>
      <w:bookmarkEnd w:id="75"/>
      <w:r w:rsidR="00457D74">
        <w:t>CCU</w:t>
      </w:r>
      <w:bookmarkEnd w:id="76"/>
      <w:bookmarkEnd w:id="77"/>
      <w:bookmarkEnd w:id="78"/>
    </w:p>
    <w:p w14:paraId="35DF1B9B" w14:textId="49EFBFD3" w:rsidR="00074CE0" w:rsidRPr="00296E90" w:rsidRDefault="00A67D09" w:rsidP="00C771E2">
      <w:pPr>
        <w:pStyle w:val="textenumeration"/>
        <w:contextualSpacing w:val="0"/>
      </w:pPr>
      <w:r w:rsidRPr="00296E90">
        <w:t xml:space="preserve">All </w:t>
      </w:r>
      <w:r w:rsidR="005A3B39" w:rsidRPr="00296E90">
        <w:t xml:space="preserve">SA </w:t>
      </w:r>
      <w:r w:rsidR="00856932" w:rsidRPr="00296E90">
        <w:t xml:space="preserve">CE </w:t>
      </w:r>
      <w:r w:rsidR="002D7080" w:rsidRPr="00296E90">
        <w:t xml:space="preserve">TSOs shall publish the </w:t>
      </w:r>
      <w:r w:rsidR="00457D74" w:rsidRPr="00296E90">
        <w:t>CCU</w:t>
      </w:r>
      <w:r w:rsidR="002D7080" w:rsidRPr="00296E90">
        <w:t xml:space="preserve"> without undue delay after all </w:t>
      </w:r>
      <w:bookmarkStart w:id="79" w:name="_Hlk7473775"/>
      <w:r w:rsidR="00C9090B" w:rsidRPr="00296E90">
        <w:t>relevant regulatory authorities</w:t>
      </w:r>
      <w:bookmarkEnd w:id="79"/>
      <w:r w:rsidR="00C9090B" w:rsidRPr="00296E90">
        <w:t xml:space="preserve"> </w:t>
      </w:r>
      <w:r w:rsidR="002D7080" w:rsidRPr="00296E90">
        <w:t xml:space="preserve">have approved the proposed </w:t>
      </w:r>
      <w:r w:rsidR="00457D74" w:rsidRPr="00296E90">
        <w:t>CCU</w:t>
      </w:r>
      <w:r w:rsidR="002D7080" w:rsidRPr="00296E90">
        <w:t xml:space="preserve"> or a decision has been taken by </w:t>
      </w:r>
      <w:r w:rsidR="00EF28AD" w:rsidRPr="00296E90">
        <w:t>ACER</w:t>
      </w:r>
      <w:r w:rsidR="002D7080" w:rsidRPr="00296E90">
        <w:t xml:space="preserve"> in accordance with Article</w:t>
      </w:r>
      <w:r w:rsidR="009E22F3">
        <w:t>s</w:t>
      </w:r>
      <w:r w:rsidR="002D7080" w:rsidRPr="00296E90">
        <w:t xml:space="preserve"> 5(7), 6(1) and 6(2) of </w:t>
      </w:r>
      <w:r w:rsidR="00C762B3" w:rsidRPr="00296E90">
        <w:t>the</w:t>
      </w:r>
      <w:r w:rsidR="002D7080" w:rsidRPr="00296E90">
        <w:t xml:space="preserve"> </w:t>
      </w:r>
      <w:r w:rsidR="007C701F">
        <w:t>EB Regulation</w:t>
      </w:r>
      <w:r w:rsidR="002D7080" w:rsidRPr="00296E90">
        <w:t xml:space="preserve">. </w:t>
      </w:r>
    </w:p>
    <w:p w14:paraId="6BA6A730" w14:textId="15E0A5A9" w:rsidR="002D7080" w:rsidRPr="00CF2038" w:rsidRDefault="00A67D09" w:rsidP="00C771E2">
      <w:pPr>
        <w:pStyle w:val="textenumeration"/>
        <w:contextualSpacing w:val="0"/>
      </w:pPr>
      <w:r w:rsidRPr="00296E90">
        <w:t>All</w:t>
      </w:r>
      <w:r w:rsidR="002D7080" w:rsidRPr="00296E90">
        <w:t xml:space="preserve"> </w:t>
      </w:r>
      <w:r w:rsidR="005A3B39" w:rsidRPr="00296E90">
        <w:t xml:space="preserve">SA </w:t>
      </w:r>
      <w:r w:rsidR="00856932" w:rsidRPr="00296E90">
        <w:t xml:space="preserve">CE </w:t>
      </w:r>
      <w:r w:rsidR="002D7080" w:rsidRPr="00296E90">
        <w:t>TS</w:t>
      </w:r>
      <w:r w:rsidR="002D7080" w:rsidRPr="00CF2038">
        <w:t xml:space="preserve">Os shall implement the </w:t>
      </w:r>
      <w:r w:rsidR="00856932">
        <w:t>CCU</w:t>
      </w:r>
      <w:r w:rsidR="002D7080" w:rsidRPr="00CF2038">
        <w:t xml:space="preserve"> in accordance to </w:t>
      </w:r>
      <w:r w:rsidR="004A3F92">
        <w:t>A</w:t>
      </w:r>
      <w:r w:rsidR="002D7080" w:rsidRPr="00CF2038">
        <w:t xml:space="preserve">rticle 4 of </w:t>
      </w:r>
      <w:r w:rsidR="00856932">
        <w:t xml:space="preserve">this </w:t>
      </w:r>
      <w:r w:rsidR="00457D74">
        <w:t>CCU</w:t>
      </w:r>
      <w:r w:rsidR="002D7080" w:rsidRPr="00CF2038">
        <w:t>.</w:t>
      </w:r>
    </w:p>
    <w:p w14:paraId="6A34869B" w14:textId="39AC14F8" w:rsidR="0001415A" w:rsidRDefault="0001415A">
      <w:pPr>
        <w:rPr>
          <w:rFonts w:ascii="Times New Roman" w:hAnsi="Times New Roman" w:cstheme="majorHAnsi"/>
          <w:b/>
          <w:color w:val="23236E" w:themeColor="text2"/>
          <w:sz w:val="24"/>
          <w:szCs w:val="24"/>
        </w:rPr>
      </w:pPr>
      <w:bookmarkStart w:id="80" w:name="_Toc509993367"/>
      <w:bookmarkEnd w:id="62"/>
      <w:bookmarkEnd w:id="63"/>
    </w:p>
    <w:p w14:paraId="0A4A84A3" w14:textId="02935BC7" w:rsidR="00B90FA6" w:rsidRPr="00992ABA" w:rsidRDefault="002D7080" w:rsidP="00E17CBF">
      <w:pPr>
        <w:pStyle w:val="headline2"/>
      </w:pPr>
      <w:bookmarkStart w:id="81" w:name="_Toc510006489"/>
      <w:bookmarkStart w:id="82" w:name="_Toc510507380"/>
      <w:bookmarkStart w:id="83" w:name="_Toc510522107"/>
      <w:bookmarkStart w:id="84" w:name="_Toc32931256"/>
      <w:r>
        <w:t xml:space="preserve">Article </w:t>
      </w:r>
      <w:r w:rsidR="0001415A">
        <w:t>10</w:t>
      </w:r>
      <w:r w:rsidR="00442D45" w:rsidRPr="00992ABA">
        <w:br/>
        <w:t>Language</w:t>
      </w:r>
      <w:bookmarkEnd w:id="80"/>
      <w:bookmarkEnd w:id="81"/>
      <w:bookmarkEnd w:id="82"/>
      <w:bookmarkEnd w:id="83"/>
      <w:bookmarkEnd w:id="84"/>
    </w:p>
    <w:bookmarkEnd w:id="2"/>
    <w:bookmarkEnd w:id="64"/>
    <w:p w14:paraId="341D424F" w14:textId="7A6995CD" w:rsidR="0076124D" w:rsidRPr="00150858" w:rsidRDefault="0076124D" w:rsidP="00150858">
      <w:pPr>
        <w:jc w:val="both"/>
        <w:rPr>
          <w:lang w:val="en-US"/>
        </w:rPr>
      </w:pPr>
      <w:r>
        <w:rPr>
          <w:color w:val="000000"/>
        </w:rPr>
        <w:t xml:space="preserve">The reference language for this proposal shall be English. For the avoidance of doubt, where TSOs need to translate this proposal into their national language(s), in the event of inconsistencies between the English version published by TSOs in accordance with Article 7 of the </w:t>
      </w:r>
      <w:r w:rsidR="007C701F">
        <w:rPr>
          <w:color w:val="000000"/>
        </w:rPr>
        <w:t>EB Regulation</w:t>
      </w:r>
      <w:r>
        <w:rPr>
          <w:color w:val="000000"/>
        </w:rPr>
        <w:t xml:space="preserve"> and any version in another language, the relevant TSOs shall, in accordance with national legislation, provide the relevant regulatory authorities with an updated translation of the proposal.</w:t>
      </w:r>
    </w:p>
    <w:p w14:paraId="4272DF47" w14:textId="77777777" w:rsidR="001F15BE" w:rsidRPr="00B03B08" w:rsidRDefault="001F15BE" w:rsidP="00455A91">
      <w:pPr>
        <w:spacing w:after="120"/>
        <w:jc w:val="both"/>
      </w:pPr>
    </w:p>
    <w:sectPr w:rsidR="001F15BE" w:rsidRPr="00B03B08" w:rsidSect="001A55A2">
      <w:headerReference w:type="default" r:id="rId11"/>
      <w:footerReference w:type="default" r:id="rId12"/>
      <w:headerReference w:type="first" r:id="rId13"/>
      <w:footerReference w:type="first" r:id="rId14"/>
      <w:pgSz w:w="11906" w:h="16838"/>
      <w:pgMar w:top="1928" w:right="1021" w:bottom="1701" w:left="1361" w:header="709" w:footer="17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5CEF9A" w16cid:durableId="21C81AFF"/>
  <w16cid:commentId w16cid:paraId="153DE142" w16cid:durableId="21C81B00"/>
  <w16cid:commentId w16cid:paraId="30E15CE2" w16cid:durableId="21C81B01"/>
  <w16cid:commentId w16cid:paraId="05874697" w16cid:durableId="21C81B02"/>
  <w16cid:commentId w16cid:paraId="4185B36E" w16cid:durableId="21C81B03"/>
  <w16cid:commentId w16cid:paraId="4483FEBC" w16cid:durableId="21DD64E9"/>
  <w16cid:commentId w16cid:paraId="1A3BCFFE" w16cid:durableId="21C81B04"/>
  <w16cid:commentId w16cid:paraId="1E90EF78" w16cid:durableId="21C81B05"/>
  <w16cid:commentId w16cid:paraId="79ADFB30" w16cid:durableId="21C81B06"/>
  <w16cid:commentId w16cid:paraId="50B29EBB" w16cid:durableId="21C81B07"/>
  <w16cid:commentId w16cid:paraId="55AB3CA3" w16cid:durableId="21C81B0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70877" w14:textId="77777777" w:rsidR="00D255CE" w:rsidRDefault="00D255CE" w:rsidP="00B04144">
      <w:r>
        <w:separator/>
      </w:r>
    </w:p>
  </w:endnote>
  <w:endnote w:type="continuationSeparator" w:id="0">
    <w:p w14:paraId="384233C2" w14:textId="77777777" w:rsidR="00D255CE" w:rsidRDefault="00D255CE" w:rsidP="00B04144">
      <w:r>
        <w:continuationSeparator/>
      </w:r>
    </w:p>
  </w:endnote>
  <w:endnote w:type="continuationNotice" w:id="1">
    <w:p w14:paraId="4A618315" w14:textId="77777777" w:rsidR="00D255CE" w:rsidRDefault="00D255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leftFromText="142" w:rightFromText="142" w:vertAnchor="page" w:horzAnchor="page" w:tblpX="1362" w:tblpY="161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23"/>
    </w:tblGrid>
    <w:tr w:rsidR="00820BFB" w:rsidRPr="00944099" w14:paraId="268A1859" w14:textId="77777777" w:rsidTr="003D0965">
      <w:trPr>
        <w:trHeight w:hRule="exact" w:val="284"/>
      </w:trPr>
      <w:tc>
        <w:tcPr>
          <w:tcW w:w="9923" w:type="dxa"/>
          <w:vAlign w:val="center"/>
        </w:tcPr>
        <w:p w14:paraId="015EA26E" w14:textId="2BAAE815" w:rsidR="00820BFB" w:rsidRPr="003D0965" w:rsidRDefault="00820BFB" w:rsidP="00CD009F">
          <w:pPr>
            <w:pStyle w:val="Fuzeile"/>
            <w:rPr>
              <w:rFonts w:asciiTheme="majorHAnsi" w:hAnsiTheme="majorHAnsi" w:cstheme="majorHAnsi"/>
              <w:sz w:val="14"/>
              <w:szCs w:val="14"/>
              <w:lang w:val="de-DE"/>
            </w:rPr>
          </w:pPr>
          <w:r w:rsidRPr="003D0965">
            <w:rPr>
              <w:rFonts w:asciiTheme="majorHAnsi" w:hAnsiTheme="majorHAnsi" w:cstheme="majorHAnsi"/>
              <w:sz w:val="14"/>
              <w:szCs w:val="14"/>
              <w:lang w:val="de-DE"/>
            </w:rPr>
            <w:t xml:space="preserve">ENTSO-E </w:t>
          </w:r>
          <w:r w:rsidRPr="003D0965">
            <w:rPr>
              <w:rFonts w:asciiTheme="majorHAnsi" w:hAnsiTheme="majorHAnsi" w:cstheme="majorHAnsi"/>
              <w:sz w:val="10"/>
              <w:szCs w:val="14"/>
              <w:lang w:val="de-DE"/>
            </w:rPr>
            <w:t>AISBL</w:t>
          </w:r>
          <w:r w:rsidRPr="003D0965">
            <w:rPr>
              <w:rFonts w:asciiTheme="majorHAnsi" w:hAnsiTheme="majorHAnsi" w:cstheme="majorHAnsi"/>
              <w:sz w:val="14"/>
              <w:szCs w:val="14"/>
              <w:lang w:val="de-DE"/>
            </w:rPr>
            <w:t xml:space="preserve"> • Avenue de Cortenbergh 100 • 1000 Brussels • Belgium • Tel + 32 2 741 09 50 • Fax + 32 2 741 09 51 • info@entsoe.eu • www. entsoe.eu</w:t>
          </w:r>
        </w:p>
      </w:tc>
    </w:tr>
  </w:tbl>
  <w:tbl>
    <w:tblPr>
      <w:tblStyle w:val="Tabellenraster"/>
      <w:tblpPr w:leftFromText="142" w:rightFromText="142" w:vertAnchor="page" w:horzAnchor="margin" w:tblpXSpec="right" w:tblpY="1570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4"/>
    </w:tblGrid>
    <w:tr w:rsidR="00820BFB" w14:paraId="747A018D" w14:textId="77777777" w:rsidTr="006E5DF6">
      <w:trPr>
        <w:trHeight w:hRule="exact" w:val="284"/>
      </w:trPr>
      <w:tc>
        <w:tcPr>
          <w:tcW w:w="624" w:type="dxa"/>
        </w:tcPr>
        <w:p w14:paraId="1AD4E5A1" w14:textId="50D9B149" w:rsidR="00820BFB" w:rsidRDefault="00820BFB" w:rsidP="00B0464F">
          <w:pPr>
            <w:pStyle w:val="Fuzeile"/>
            <w:jc w:val="right"/>
          </w:pPr>
          <w:r>
            <w:fldChar w:fldCharType="begin"/>
          </w:r>
          <w:r>
            <w:instrText xml:space="preserve"> PAGE   \* MERGEFORMAT </w:instrText>
          </w:r>
          <w:r>
            <w:fldChar w:fldCharType="separate"/>
          </w:r>
          <w:r w:rsidR="00FB117E">
            <w:rPr>
              <w:noProof/>
            </w:rPr>
            <w:t>11</w:t>
          </w:r>
          <w:r>
            <w:rPr>
              <w:noProof/>
            </w:rPr>
            <w:fldChar w:fldCharType="end"/>
          </w:r>
        </w:p>
      </w:tc>
    </w:tr>
  </w:tbl>
  <w:p w14:paraId="079A7F4A" w14:textId="77777777" w:rsidR="00820BFB" w:rsidRPr="003D0965" w:rsidRDefault="00820BFB" w:rsidP="003D0965">
    <w:pPr>
      <w:pStyle w:val="Fuzeile"/>
    </w:pPr>
    <w:r w:rsidRPr="008C038C">
      <w:rPr>
        <w:noProof/>
        <w:lang w:val="de-DE" w:eastAsia="de-DE"/>
      </w:rPr>
      <w:drawing>
        <wp:anchor distT="0" distB="0" distL="114300" distR="114300" simplePos="0" relativeHeight="251658241" behindDoc="1" locked="1" layoutInCell="1" allowOverlap="1" wp14:anchorId="2A223997" wp14:editId="11E2C2DE">
          <wp:simplePos x="0" y="0"/>
          <wp:positionH relativeFrom="page">
            <wp:align>right</wp:align>
          </wp:positionH>
          <wp:positionV relativeFrom="page">
            <wp:posOffset>9723120</wp:posOffset>
          </wp:positionV>
          <wp:extent cx="7551420" cy="426085"/>
          <wp:effectExtent l="0" t="0" r="0" b="0"/>
          <wp:wrapNone/>
          <wp:docPr id="11" name="Grafik 3" descr="Footer.w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ooter.wmf"/>
                  <pic:cNvPicPr/>
                </pic:nvPicPr>
                <pic:blipFill>
                  <a:blip r:embed="rId1"/>
                  <a:stretch>
                    <a:fillRect/>
                  </a:stretch>
                </pic:blipFill>
                <pic:spPr>
                  <a:xfrm>
                    <a:off x="0" y="0"/>
                    <a:ext cx="7551420" cy="426085"/>
                  </a:xfrm>
                  <a:prstGeom prst="rect">
                    <a:avLst/>
                  </a:prstGeom>
                </pic:spPr>
              </pic:pic>
            </a:graphicData>
          </a:graphic>
          <wp14:sizeRelH relativeFrom="margin">
            <wp14:pctWidth>0</wp14:pctWidth>
          </wp14:sizeRelH>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leftFromText="142" w:rightFromText="142" w:vertAnchor="page" w:horzAnchor="page" w:tblpX="1362" w:tblpY="161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23"/>
    </w:tblGrid>
    <w:tr w:rsidR="00820BFB" w:rsidRPr="00944099" w14:paraId="49439DD9" w14:textId="46B2A92F" w:rsidTr="003D0965">
      <w:trPr>
        <w:trHeight w:hRule="exact" w:val="284"/>
      </w:trPr>
      <w:tc>
        <w:tcPr>
          <w:tcW w:w="9923" w:type="dxa"/>
          <w:vAlign w:val="center"/>
        </w:tcPr>
        <w:p w14:paraId="30FF3290" w14:textId="77777777" w:rsidR="00820BFB" w:rsidRPr="00A10F07" w:rsidRDefault="00820BFB" w:rsidP="003D0965">
          <w:pPr>
            <w:pStyle w:val="Fuzeile"/>
            <w:rPr>
              <w:rFonts w:asciiTheme="majorHAnsi" w:hAnsiTheme="majorHAnsi" w:cstheme="majorHAnsi"/>
              <w:sz w:val="14"/>
              <w:szCs w:val="14"/>
              <w:lang w:val="fr-FR"/>
            </w:rPr>
          </w:pPr>
          <w:r w:rsidRPr="00A10F07">
            <w:rPr>
              <w:rFonts w:asciiTheme="majorHAnsi" w:hAnsiTheme="majorHAnsi" w:cstheme="majorHAnsi"/>
              <w:sz w:val="14"/>
              <w:szCs w:val="14"/>
              <w:lang w:val="fr-FR"/>
            </w:rPr>
            <w:t xml:space="preserve">ENTSO-E </w:t>
          </w:r>
          <w:r w:rsidRPr="00A10F07">
            <w:rPr>
              <w:rFonts w:asciiTheme="majorHAnsi" w:hAnsiTheme="majorHAnsi" w:cstheme="majorHAnsi"/>
              <w:sz w:val="10"/>
              <w:szCs w:val="14"/>
              <w:lang w:val="fr-FR"/>
            </w:rPr>
            <w:t>AISBL</w:t>
          </w:r>
          <w:r w:rsidRPr="00A10F07">
            <w:rPr>
              <w:rFonts w:asciiTheme="majorHAnsi" w:hAnsiTheme="majorHAnsi" w:cstheme="majorHAnsi"/>
              <w:sz w:val="14"/>
              <w:szCs w:val="14"/>
              <w:lang w:val="fr-FR"/>
            </w:rPr>
            <w:t xml:space="preserve"> • Avenue de Cortenbergh 100 • 1000 Brussels • Belgium • Tel + 32 2 741 09 50 • Fax + 32 2 741 09 51 • info@entsoe.eu • www. entsoe.eu</w:t>
          </w:r>
        </w:p>
      </w:tc>
    </w:tr>
  </w:tbl>
  <w:p w14:paraId="420B5803" w14:textId="2DA8FB05" w:rsidR="00820BFB" w:rsidRDefault="00820BFB">
    <w:pPr>
      <w:pStyle w:val="Fuzeile"/>
    </w:pPr>
    <w:r>
      <w:rPr>
        <w:noProof/>
        <w:lang w:val="de-DE" w:eastAsia="de-DE"/>
      </w:rPr>
      <mc:AlternateContent>
        <mc:Choice Requires="wps">
          <w:drawing>
            <wp:anchor distT="0" distB="0" distL="114300" distR="114300" simplePos="0" relativeHeight="251658245" behindDoc="1" locked="0" layoutInCell="1" allowOverlap="1" wp14:anchorId="27D966E8" wp14:editId="57D72244">
              <wp:simplePos x="0" y="0"/>
              <wp:positionH relativeFrom="page">
                <wp:align>right</wp:align>
              </wp:positionH>
              <wp:positionV relativeFrom="paragraph">
                <wp:posOffset>-296545</wp:posOffset>
              </wp:positionV>
              <wp:extent cx="7551420" cy="638175"/>
              <wp:effectExtent l="0" t="0" r="0" b="952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1420" cy="638175"/>
                      </a:xfrm>
                      <a:prstGeom prst="rect">
                        <a:avLst/>
                      </a:prstGeom>
                      <a:solidFill>
                        <a:schemeClr val="bg1">
                          <a:lumMod val="100000"/>
                          <a:lumOff val="0"/>
                        </a:schemeClr>
                      </a:solidFill>
                      <a:ln>
                        <a:noFill/>
                      </a:ln>
                      <a:extLst>
                        <a:ext uri="{91240B29-F687-4F45-9708-019B960494DF}">
                          <a14:hiddenLine xmlns:a14="http://schemas.microsoft.com/office/drawing/2010/main" w="9525">
                            <a:solidFill>
                              <a:schemeClr val="accent3">
                                <a:lumMod val="10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7F494" id="Rectangle 6" o:spid="_x0000_s1026" style="position:absolute;margin-left:543.4pt;margin-top:-23.35pt;width:594.6pt;height:50.25pt;z-index:-251658235;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" fillcolor="white [3212]" stroked="f" strokecolor="#7f5a9b [3206]">
              <w10:wrap anchorx="page"/>
            </v:rect>
          </w:pict>
        </mc:Fallback>
      </mc:AlternateContent>
    </w:r>
    <w:r>
      <w:rPr>
        <w:noProof/>
        <w:lang w:val="de-DE" w:eastAsia="de-DE"/>
      </w:rPr>
      <mc:AlternateContent>
        <mc:Choice Requires="wps">
          <w:drawing>
            <wp:anchor distT="0" distB="0" distL="114300" distR="114300" simplePos="0" relativeHeight="251658243" behindDoc="1" locked="1" layoutInCell="1" allowOverlap="1" wp14:anchorId="5A4DA886" wp14:editId="5898F357">
              <wp:simplePos x="0" y="0"/>
              <wp:positionH relativeFrom="page">
                <wp:posOffset>0</wp:posOffset>
              </wp:positionH>
              <wp:positionV relativeFrom="page">
                <wp:posOffset>6642735</wp:posOffset>
              </wp:positionV>
              <wp:extent cx="7578090" cy="3834130"/>
              <wp:effectExtent l="0" t="0" r="381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78090" cy="3834130"/>
                      </a:xfrm>
                      <a:prstGeom prst="rect">
                        <a:avLst/>
                      </a:prstGeom>
                      <a:gradFill rotWithShape="1">
                        <a:gsLst>
                          <a:gs pos="0">
                            <a:srgbClr val="FFFFFF">
                              <a:alpha val="25000"/>
                            </a:srgbClr>
                          </a:gs>
                          <a:gs pos="100000">
                            <a:srgbClr val="DCDCDC"/>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6E45D5" id="Rectangle 5" o:spid="_x0000_s1026" style="position:absolute;margin-left:0;margin-top:523.05pt;width:596.7pt;height:301.9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" stroked="f">
              <v:fill opacity=".25" color2="#dcdcdc" rotate="t" focus="100%" type="gradient"/>
              <w10:wrap anchorx="page" anchory="page"/>
              <w10:anchorlock/>
            </v:rect>
          </w:pict>
        </mc:Fallback>
      </mc:AlternateContent>
    </w:r>
    <w:r>
      <w:rPr>
        <w:noProof/>
        <w:lang w:val="de-DE" w:eastAsia="de-DE"/>
      </w:rPr>
      <w:drawing>
        <wp:anchor distT="0" distB="0" distL="114300" distR="114300" simplePos="0" relativeHeight="251658244" behindDoc="1" locked="1" layoutInCell="1" allowOverlap="1" wp14:anchorId="7046F923" wp14:editId="1C4AF319">
          <wp:simplePos x="0" y="0"/>
          <wp:positionH relativeFrom="page">
            <wp:align>right</wp:align>
          </wp:positionH>
          <wp:positionV relativeFrom="page">
            <wp:posOffset>9723120</wp:posOffset>
          </wp:positionV>
          <wp:extent cx="7559040" cy="426085"/>
          <wp:effectExtent l="0" t="0" r="3810" b="0"/>
          <wp:wrapNone/>
          <wp:docPr id="13" name="Grafik 3" descr="Footer.w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ooter.wmf"/>
                  <pic:cNvPicPr/>
                </pic:nvPicPr>
                <pic:blipFill>
                  <a:blip r:embed="rId1"/>
                  <a:stretch>
                    <a:fillRect/>
                  </a:stretch>
                </pic:blipFill>
                <pic:spPr>
                  <a:xfrm>
                    <a:off x="0" y="0"/>
                    <a:ext cx="7559040" cy="426085"/>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71663" w14:textId="77777777" w:rsidR="00D255CE" w:rsidRDefault="00D255CE" w:rsidP="00B04144">
      <w:r>
        <w:separator/>
      </w:r>
    </w:p>
  </w:footnote>
  <w:footnote w:type="continuationSeparator" w:id="0">
    <w:p w14:paraId="16B072A3" w14:textId="77777777" w:rsidR="00D255CE" w:rsidRDefault="00D255CE" w:rsidP="00B04144">
      <w:r>
        <w:continuationSeparator/>
      </w:r>
    </w:p>
  </w:footnote>
  <w:footnote w:type="continuationNotice" w:id="1">
    <w:p w14:paraId="1DF1F025" w14:textId="77777777" w:rsidR="00D255CE" w:rsidRDefault="00D255C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66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3"/>
    </w:tblGrid>
    <w:tr w:rsidR="00820BFB" w:rsidRPr="00696EBB" w14:paraId="37D79938" w14:textId="77777777" w:rsidTr="009D64BC">
      <w:trPr>
        <w:trHeight w:hRule="exact" w:val="907"/>
      </w:trPr>
      <w:sdt>
        <w:sdtPr>
          <w:rPr>
            <w:sz w:val="20"/>
            <w:lang w:val="en-US"/>
          </w:rPr>
          <w:alias w:val="Titel"/>
          <w:tag w:val="Titel"/>
          <w:id w:val="142390586"/>
          <w:dataBinding w:prefixMappings="xmlns:ns0='http://purl.org/dc/elements/1.1/' xmlns:ns1='http://schemas.openxmlformats.org/package/2006/metadata/core-properties' " w:xpath="/ns1:coreProperties[1]/ns0:title[1]" w:storeItemID="{6C3C8BC8-F283-45AE-878A-BAB7291924A1}"/>
          <w:text w:multiLine="1"/>
        </w:sdtPr>
        <w:sdtEndPr/>
        <w:sdtContent>
          <w:tc>
            <w:tcPr>
              <w:tcW w:w="6663" w:type="dxa"/>
            </w:tcPr>
            <w:p w14:paraId="4D685D7E" w14:textId="3FE3EE5F" w:rsidR="00820BFB" w:rsidRPr="00992ABA" w:rsidRDefault="00820BFB" w:rsidP="00BF6165">
              <w:pPr>
                <w:rPr>
                  <w:lang w:val="en-US"/>
                </w:rPr>
              </w:pPr>
              <w:r>
                <w:rPr>
                  <w:sz w:val="20"/>
                  <w:lang w:val="en-US"/>
                </w:rPr>
                <w:t>All continental European TSOs’ proposal for Common settlement rules for all unintended exchanges of energy in accordance with the Article 51(1) of Commission Regulation (EU) 2017/2195 of 23 November 2017 establishing a guideline on electricity balancing</w:t>
              </w:r>
            </w:p>
          </w:tc>
        </w:sdtContent>
      </w:sdt>
    </w:tr>
  </w:tbl>
  <w:p w14:paraId="651DC924" w14:textId="77777777" w:rsidR="00820BFB" w:rsidRDefault="00820BFB" w:rsidP="003D0965">
    <w:pPr>
      <w:pStyle w:val="Fuzeile"/>
    </w:pPr>
    <w:r>
      <w:rPr>
        <w:noProof/>
        <w:lang w:val="de-DE" w:eastAsia="de-DE"/>
      </w:rPr>
      <mc:AlternateContent>
        <mc:Choice Requires="wps">
          <w:drawing>
            <wp:anchor distT="4294967294" distB="4294967294" distL="114300" distR="114300" simplePos="0" relativeHeight="251658246" behindDoc="0" locked="1" layoutInCell="1" allowOverlap="1" wp14:anchorId="50CE5098" wp14:editId="74B27B3A">
              <wp:simplePos x="0" y="0"/>
              <wp:positionH relativeFrom="page">
                <wp:posOffset>864235</wp:posOffset>
              </wp:positionH>
              <wp:positionV relativeFrom="page">
                <wp:posOffset>1062354</wp:posOffset>
              </wp:positionV>
              <wp:extent cx="6047740" cy="0"/>
              <wp:effectExtent l="0" t="0" r="29210" b="1905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740" cy="0"/>
                      </a:xfrm>
                      <a:prstGeom prst="straightConnector1">
                        <a:avLst/>
                      </a:prstGeom>
                      <a:noFill/>
                      <a:ln w="12700">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50001E" id="_x0000_t32" coordsize="21600,21600" o:spt="32" o:oned="t" path="m,l21600,21600e" filled="f">
              <v:path arrowok="t" fillok="f" o:connecttype="none"/>
              <o:lock v:ext="edit" shapetype="t"/>
            </v:shapetype>
            <v:shape id="AutoShape 8" o:spid="_x0000_s1026" type="#_x0000_t32" style="position:absolute;margin-left:68.05pt;margin-top:83.65pt;width:476.2pt;height:0;z-index:25165824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" strokecolor="#23236e [3215]" strokeweight="1pt">
              <w10:wrap anchorx="page" anchory="page"/>
              <w10:anchorlock/>
            </v:shape>
          </w:pict>
        </mc:Fallback>
      </mc:AlternateContent>
    </w:r>
    <w:r>
      <w:rPr>
        <w:noProof/>
        <w:lang w:val="de-DE" w:eastAsia="de-DE"/>
      </w:rPr>
      <w:drawing>
        <wp:anchor distT="0" distB="0" distL="114300" distR="114300" simplePos="0" relativeHeight="251658240" behindDoc="0" locked="1" layoutInCell="1" allowOverlap="1" wp14:anchorId="15F6B329" wp14:editId="3443DA80">
          <wp:simplePos x="0" y="0"/>
          <wp:positionH relativeFrom="page">
            <wp:posOffset>5483225</wp:posOffset>
          </wp:positionH>
          <wp:positionV relativeFrom="page">
            <wp:posOffset>360045</wp:posOffset>
          </wp:positionV>
          <wp:extent cx="1514475" cy="381000"/>
          <wp:effectExtent l="0" t="0" r="9525" b="0"/>
          <wp:wrapNone/>
          <wp:docPr id="7" name="Grafik 5" descr="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mf"/>
                  <pic:cNvPicPr/>
                </pic:nvPicPr>
                <pic:blipFill>
                  <a:blip r:embed="rId1"/>
                  <a:srcRect l="48293"/>
                  <a:stretch>
                    <a:fillRect/>
                  </a:stretch>
                </pic:blipFill>
                <pic:spPr>
                  <a:xfrm>
                    <a:off x="0" y="0"/>
                    <a:ext cx="1514475" cy="3810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leftFromText="142" w:rightFromText="142" w:topFromText="5528" w:vertAnchor="page" w:horzAnchor="page" w:tblpX="1362" w:tblpY="5104"/>
      <w:tblW w:w="0" w:type="auto"/>
      <w:tblBorders>
        <w:top w:val="single" w:sz="8" w:space="0" w:color="23236E" w:themeColor="text2"/>
        <w:left w:val="none" w:sz="0" w:space="0" w:color="auto"/>
        <w:bottom w:val="single" w:sz="8"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524"/>
    </w:tblGrid>
    <w:tr w:rsidR="00820BFB" w14:paraId="2D98411E" w14:textId="77777777" w:rsidTr="006A737C">
      <w:tc>
        <w:tcPr>
          <w:tcW w:w="9524" w:type="dxa"/>
          <w:tcMar>
            <w:top w:w="198" w:type="dxa"/>
          </w:tcMar>
        </w:tcPr>
        <w:p w14:paraId="45F39B43" w14:textId="77777777" w:rsidR="00820BFB" w:rsidRDefault="00820BFB" w:rsidP="00696EBB">
          <w:pPr>
            <w:pStyle w:val="headlineheader"/>
            <w:rPr>
              <w:lang w:val="en-US"/>
            </w:rPr>
          </w:pPr>
        </w:p>
      </w:tc>
    </w:tr>
    <w:tr w:rsidR="00820BFB" w14:paraId="3498A1A8" w14:textId="77777777" w:rsidTr="006A737C">
      <w:tc>
        <w:tcPr>
          <w:tcW w:w="9524" w:type="dxa"/>
        </w:tcPr>
        <w:p w14:paraId="4506E554" w14:textId="77777777" w:rsidR="00820BFB" w:rsidRPr="00AF06B7" w:rsidRDefault="00820BFB" w:rsidP="006A737C">
          <w:pPr>
            <w:pStyle w:val="textheader"/>
          </w:pPr>
        </w:p>
      </w:tc>
    </w:tr>
    <w:tr w:rsidR="00820BFB" w14:paraId="33CA13E3" w14:textId="77777777" w:rsidTr="006A737C">
      <w:tc>
        <w:tcPr>
          <w:tcW w:w="9524" w:type="dxa"/>
        </w:tcPr>
        <w:p w14:paraId="5E7E7136" w14:textId="77777777" w:rsidR="00820BFB" w:rsidRPr="007A686E" w:rsidRDefault="00820BFB" w:rsidP="006A737C">
          <w:pPr>
            <w:pStyle w:val="textheader"/>
          </w:pPr>
        </w:p>
      </w:tc>
    </w:tr>
    <w:tr w:rsidR="00820BFB" w:rsidRPr="00903B95" w14:paraId="753F0477" w14:textId="77777777" w:rsidTr="006A737C">
      <w:tc>
        <w:tcPr>
          <w:tcW w:w="9524" w:type="dxa"/>
          <w:tcMar>
            <w:bottom w:w="142" w:type="dxa"/>
          </w:tcMar>
        </w:tcPr>
        <w:p w14:paraId="6A69BB30" w14:textId="77777777" w:rsidR="00820BFB" w:rsidRPr="00256312" w:rsidRDefault="00820BFB" w:rsidP="006A737C">
          <w:pPr>
            <w:pStyle w:val="time"/>
            <w:framePr w:hSpace="0" w:vSpace="0" w:wrap="auto" w:vAnchor="margin" w:hAnchor="text" w:xAlign="left" w:yAlign="inline"/>
          </w:pPr>
        </w:p>
      </w:tc>
    </w:tr>
  </w:tbl>
  <w:p w14:paraId="0D9B35E1" w14:textId="77777777" w:rsidR="00820BFB" w:rsidRDefault="00820BFB">
    <w:pPr>
      <w:pStyle w:val="Kopfzeile"/>
    </w:pPr>
    <w:r>
      <w:rPr>
        <w:noProof/>
        <w:lang w:val="de-DE" w:eastAsia="de-DE"/>
      </w:rPr>
      <w:drawing>
        <wp:anchor distT="0" distB="0" distL="114300" distR="114300" simplePos="0" relativeHeight="251658242" behindDoc="0" locked="1" layoutInCell="1" allowOverlap="1" wp14:anchorId="1AEF7347" wp14:editId="6F263558">
          <wp:simplePos x="0" y="0"/>
          <wp:positionH relativeFrom="page">
            <wp:posOffset>4068445</wp:posOffset>
          </wp:positionH>
          <wp:positionV relativeFrom="page">
            <wp:posOffset>720090</wp:posOffset>
          </wp:positionV>
          <wp:extent cx="2930400" cy="383059"/>
          <wp:effectExtent l="19050" t="0" r="3300" b="0"/>
          <wp:wrapNone/>
          <wp:docPr id="12" name="Grafik 5" descr="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mf"/>
                  <pic:cNvPicPr/>
                </pic:nvPicPr>
                <pic:blipFill>
                  <a:blip r:embed="rId1"/>
                  <a:stretch>
                    <a:fillRect/>
                  </a:stretch>
                </pic:blipFill>
                <pic:spPr>
                  <a:xfrm>
                    <a:off x="0" y="0"/>
                    <a:ext cx="2930400" cy="38305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C618D"/>
    <w:multiLevelType w:val="hybridMultilevel"/>
    <w:tmpl w:val="692AFCEA"/>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15:restartNumberingAfterBreak="0">
    <w:nsid w:val="05997537"/>
    <w:multiLevelType w:val="hybridMultilevel"/>
    <w:tmpl w:val="0AF6D92E"/>
    <w:lvl w:ilvl="0" w:tplc="47F02D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E147B"/>
    <w:multiLevelType w:val="hybridMultilevel"/>
    <w:tmpl w:val="535ED19A"/>
    <w:lvl w:ilvl="0" w:tplc="04090017">
      <w:start w:val="1"/>
      <w:numFmt w:val="lowerLetter"/>
      <w:lvlText w:val="%1)"/>
      <w:lvlJc w:val="left"/>
      <w:pPr>
        <w:ind w:left="720" w:hanging="360"/>
      </w:pPr>
    </w:lvl>
    <w:lvl w:ilvl="1" w:tplc="6C0A2FA8">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3" w15:restartNumberingAfterBreak="0">
    <w:nsid w:val="07E6333F"/>
    <w:multiLevelType w:val="hybridMultilevel"/>
    <w:tmpl w:val="567C2FEA"/>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 w15:restartNumberingAfterBreak="0">
    <w:nsid w:val="0AE47F7D"/>
    <w:multiLevelType w:val="hybridMultilevel"/>
    <w:tmpl w:val="76786EA8"/>
    <w:lvl w:ilvl="0" w:tplc="FF700BB4">
      <w:start w:val="1"/>
      <w:numFmt w:val="lowerLetter"/>
      <w:lvlText w:val="(%1)"/>
      <w:lvlJc w:val="left"/>
      <w:pPr>
        <w:ind w:left="360" w:hanging="360"/>
      </w:pPr>
      <w:rPr>
        <w:rFonts w:hint="default"/>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02A6098"/>
    <w:multiLevelType w:val="hybridMultilevel"/>
    <w:tmpl w:val="3AAE839C"/>
    <w:lvl w:ilvl="0" w:tplc="CB481F1E">
      <w:start w:val="1"/>
      <w:numFmt w:val="decimal"/>
      <w:lvlText w:val="(%1)"/>
      <w:lvlJc w:val="left"/>
      <w:pPr>
        <w:ind w:left="720" w:hanging="360"/>
      </w:pPr>
      <w:rPr>
        <w:rFonts w:hint="default"/>
        <w:b w:val="0"/>
      </w:rPr>
    </w:lvl>
    <w:lvl w:ilvl="1" w:tplc="6DEEA86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6762DC"/>
    <w:multiLevelType w:val="hybridMultilevel"/>
    <w:tmpl w:val="6614823E"/>
    <w:lvl w:ilvl="0" w:tplc="CB481F1E">
      <w:start w:val="1"/>
      <w:numFmt w:val="decimal"/>
      <w:lvlText w:val="(%1)"/>
      <w:lvlJc w:val="left"/>
      <w:pPr>
        <w:ind w:left="360" w:hanging="360"/>
      </w:pPr>
      <w:rPr>
        <w:rFonts w:hint="default"/>
        <w:b w:val="0"/>
      </w:rPr>
    </w:lvl>
    <w:lvl w:ilvl="1" w:tplc="FF700BB4">
      <w:start w:val="1"/>
      <w:numFmt w:val="lowerLetter"/>
      <w:lvlText w:val="(%2)"/>
      <w:lvlJc w:val="left"/>
      <w:pPr>
        <w:ind w:left="1080" w:hanging="360"/>
      </w:pPr>
      <w:rPr>
        <w:rFonts w:hint="default"/>
        <w:b w:val="0"/>
      </w:r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12B5587D"/>
    <w:multiLevelType w:val="hybridMultilevel"/>
    <w:tmpl w:val="44C24C48"/>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4F12628"/>
    <w:multiLevelType w:val="hybridMultilevel"/>
    <w:tmpl w:val="1CC645F0"/>
    <w:lvl w:ilvl="0" w:tplc="CB481F1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711767"/>
    <w:multiLevelType w:val="hybridMultilevel"/>
    <w:tmpl w:val="44E464C4"/>
    <w:lvl w:ilvl="0" w:tplc="CB481F1E">
      <w:start w:val="1"/>
      <w:numFmt w:val="decimal"/>
      <w:lvlText w:val="(%1)"/>
      <w:lvlJc w:val="left"/>
      <w:pPr>
        <w:ind w:left="720" w:hanging="360"/>
      </w:pPr>
      <w:rPr>
        <w:rFonts w:hint="default"/>
        <w:b w:val="0"/>
      </w:rPr>
    </w:lvl>
    <w:lvl w:ilvl="1" w:tplc="FF700BB4">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8F7AD0"/>
    <w:multiLevelType w:val="hybridMultilevel"/>
    <w:tmpl w:val="535ED19A"/>
    <w:lvl w:ilvl="0" w:tplc="04090017">
      <w:start w:val="1"/>
      <w:numFmt w:val="lowerLetter"/>
      <w:lvlText w:val="%1)"/>
      <w:lvlJc w:val="left"/>
      <w:pPr>
        <w:ind w:left="720" w:hanging="360"/>
      </w:pPr>
    </w:lvl>
    <w:lvl w:ilvl="1" w:tplc="6C0A2FA8">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1" w15:restartNumberingAfterBreak="0">
    <w:nsid w:val="17A602B0"/>
    <w:multiLevelType w:val="hybridMultilevel"/>
    <w:tmpl w:val="67C43F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097671E"/>
    <w:multiLevelType w:val="hybridMultilevel"/>
    <w:tmpl w:val="59046C2A"/>
    <w:lvl w:ilvl="0" w:tplc="CB481F1E">
      <w:start w:val="1"/>
      <w:numFmt w:val="decimal"/>
      <w:lvlText w:val="(%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231929A4"/>
    <w:multiLevelType w:val="hybridMultilevel"/>
    <w:tmpl w:val="2380649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67B66E9"/>
    <w:multiLevelType w:val="multilevel"/>
    <w:tmpl w:val="169CC5E8"/>
    <w:styleLink w:val="XXXtextbullets"/>
    <w:lvl w:ilvl="0">
      <w:start w:val="1"/>
      <w:numFmt w:val="bullet"/>
      <w:pStyle w:val="textbullets"/>
      <w:lvlText w:val="‒"/>
      <w:lvlJc w:val="left"/>
      <w:pPr>
        <w:ind w:left="397" w:hanging="397"/>
      </w:pPr>
      <w:rPr>
        <w:rFonts w:ascii="Calibri" w:hAnsi="Calibri" w:hint="default"/>
        <w:color w:val="auto"/>
      </w:rPr>
    </w:lvl>
    <w:lvl w:ilvl="1">
      <w:start w:val="1"/>
      <w:numFmt w:val="bullet"/>
      <w:lvlText w:val="‒"/>
      <w:lvlJc w:val="left"/>
      <w:pPr>
        <w:ind w:left="794" w:hanging="397"/>
      </w:pPr>
      <w:rPr>
        <w:rFonts w:ascii="Calibri" w:hAnsi="Calibri" w:hint="default"/>
        <w:color w:val="auto"/>
      </w:rPr>
    </w:lvl>
    <w:lvl w:ilvl="2">
      <w:start w:val="1"/>
      <w:numFmt w:val="bullet"/>
      <w:lvlText w:val="‒"/>
      <w:lvlJc w:val="left"/>
      <w:pPr>
        <w:ind w:left="1191" w:hanging="397"/>
      </w:pPr>
      <w:rPr>
        <w:rFonts w:ascii="Calibri" w:hAnsi="Calibri" w:hint="default"/>
        <w:color w:val="auto"/>
      </w:rPr>
    </w:lvl>
    <w:lvl w:ilvl="3">
      <w:start w:val="1"/>
      <w:numFmt w:val="bullet"/>
      <w:lvlText w:val="‒"/>
      <w:lvlJc w:val="left"/>
      <w:pPr>
        <w:ind w:left="1588" w:hanging="397"/>
      </w:pPr>
      <w:rPr>
        <w:rFonts w:ascii="Calibri" w:hAnsi="Calibri" w:hint="default"/>
        <w:color w:val="auto"/>
      </w:rPr>
    </w:lvl>
    <w:lvl w:ilvl="4">
      <w:start w:val="1"/>
      <w:numFmt w:val="bullet"/>
      <w:lvlText w:val="‒"/>
      <w:lvlJc w:val="left"/>
      <w:pPr>
        <w:ind w:left="1985" w:hanging="397"/>
      </w:pPr>
      <w:rPr>
        <w:rFonts w:ascii="Calibri" w:hAnsi="Calibri" w:hint="default"/>
        <w:color w:val="auto"/>
      </w:rPr>
    </w:lvl>
    <w:lvl w:ilvl="5">
      <w:start w:val="1"/>
      <w:numFmt w:val="bullet"/>
      <w:lvlText w:val="‒"/>
      <w:lvlJc w:val="left"/>
      <w:pPr>
        <w:ind w:left="2325" w:hanging="340"/>
      </w:pPr>
      <w:rPr>
        <w:rFonts w:ascii="Calibri" w:hAnsi="Calibri" w:hint="default"/>
        <w:color w:val="auto"/>
      </w:rPr>
    </w:lvl>
    <w:lvl w:ilvl="6">
      <w:start w:val="1"/>
      <w:numFmt w:val="bullet"/>
      <w:lvlText w:val="‒"/>
      <w:lvlJc w:val="left"/>
      <w:pPr>
        <w:ind w:left="2722" w:hanging="397"/>
      </w:pPr>
      <w:rPr>
        <w:rFonts w:ascii="Calibri" w:hAnsi="Calibri" w:hint="default"/>
        <w:color w:val="auto"/>
      </w:rPr>
    </w:lvl>
    <w:lvl w:ilvl="7">
      <w:start w:val="1"/>
      <w:numFmt w:val="bullet"/>
      <w:lvlText w:val="‒"/>
      <w:lvlJc w:val="left"/>
      <w:pPr>
        <w:ind w:left="3119" w:hanging="397"/>
      </w:pPr>
      <w:rPr>
        <w:rFonts w:ascii="Calibri" w:hAnsi="Calibri" w:hint="default"/>
        <w:color w:val="auto"/>
      </w:rPr>
    </w:lvl>
    <w:lvl w:ilvl="8">
      <w:start w:val="1"/>
      <w:numFmt w:val="bullet"/>
      <w:lvlText w:val="‒"/>
      <w:lvlJc w:val="left"/>
      <w:pPr>
        <w:ind w:left="3459" w:hanging="340"/>
      </w:pPr>
      <w:rPr>
        <w:rFonts w:ascii="Calibri" w:hAnsi="Calibri" w:hint="default"/>
        <w:color w:val="auto"/>
      </w:rPr>
    </w:lvl>
  </w:abstractNum>
  <w:abstractNum w:abstractNumId="15" w15:restartNumberingAfterBreak="0">
    <w:nsid w:val="29AE2B87"/>
    <w:multiLevelType w:val="hybridMultilevel"/>
    <w:tmpl w:val="CDCA5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C51227"/>
    <w:multiLevelType w:val="hybridMultilevel"/>
    <w:tmpl w:val="90546958"/>
    <w:lvl w:ilvl="0" w:tplc="CB481F1E">
      <w:start w:val="1"/>
      <w:numFmt w:val="decimal"/>
      <w:lvlText w:val="(%1)"/>
      <w:lvlJc w:val="left"/>
      <w:pPr>
        <w:ind w:left="360" w:hanging="360"/>
      </w:pPr>
      <w:rPr>
        <w:rFonts w:hint="default"/>
        <w:b w:val="0"/>
      </w:rPr>
    </w:lvl>
    <w:lvl w:ilvl="1" w:tplc="FF700BB4">
      <w:start w:val="1"/>
      <w:numFmt w:val="lowerLetter"/>
      <w:lvlText w:val="(%2)"/>
      <w:lvlJc w:val="left"/>
      <w:pPr>
        <w:ind w:left="1080" w:hanging="360"/>
      </w:pPr>
      <w:rPr>
        <w:rFonts w:hint="default"/>
        <w:b w:val="0"/>
      </w:rPr>
    </w:lvl>
    <w:lvl w:ilvl="2" w:tplc="B488560A">
      <w:start w:val="1"/>
      <w:numFmt w:val="lowerRoman"/>
      <w:lvlText w:val="%3."/>
      <w:lvlJc w:val="right"/>
      <w:pPr>
        <w:ind w:left="1800" w:hanging="180"/>
      </w:pPr>
      <w:rPr>
        <w:b w:val="0"/>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2DEB5C35"/>
    <w:multiLevelType w:val="hybridMultilevel"/>
    <w:tmpl w:val="319ED2A0"/>
    <w:lvl w:ilvl="0" w:tplc="CB481F1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DE14CD"/>
    <w:multiLevelType w:val="hybridMultilevel"/>
    <w:tmpl w:val="DEA61E32"/>
    <w:lvl w:ilvl="0" w:tplc="E2E06F0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902E6E"/>
    <w:multiLevelType w:val="hybridMultilevel"/>
    <w:tmpl w:val="AD180382"/>
    <w:lvl w:ilvl="0" w:tplc="B2923182">
      <w:start w:val="1"/>
      <w:numFmt w:val="bullet"/>
      <w:lvlText w:val="-"/>
      <w:lvlJc w:val="left"/>
      <w:pPr>
        <w:ind w:left="720" w:hanging="360"/>
      </w:pPr>
      <w:rPr>
        <w:rFonts w:ascii="Times New Roman" w:eastAsiaTheme="minorHAnsi" w:hAnsi="Times New Roman"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1A6947"/>
    <w:multiLevelType w:val="hybridMultilevel"/>
    <w:tmpl w:val="7AA452C2"/>
    <w:lvl w:ilvl="0" w:tplc="CB481F1E">
      <w:start w:val="1"/>
      <w:numFmt w:val="decimal"/>
      <w:lvlText w:val="(%1)"/>
      <w:lvlJc w:val="left"/>
      <w:pPr>
        <w:ind w:left="360" w:hanging="360"/>
      </w:pPr>
      <w:rPr>
        <w:rFonts w:hint="default"/>
        <w:b w:val="0"/>
      </w:rPr>
    </w:lvl>
    <w:lvl w:ilvl="1" w:tplc="FF700BB4">
      <w:start w:val="1"/>
      <w:numFmt w:val="lowerLetter"/>
      <w:lvlText w:val="(%2)"/>
      <w:lvlJc w:val="left"/>
      <w:pPr>
        <w:ind w:left="1080" w:hanging="360"/>
      </w:pPr>
      <w:rPr>
        <w:rFonts w:hint="default"/>
        <w:b w:val="0"/>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3586013D"/>
    <w:multiLevelType w:val="hybridMultilevel"/>
    <w:tmpl w:val="AA62E878"/>
    <w:lvl w:ilvl="0" w:tplc="38CA0EF2">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6C4CBD"/>
    <w:multiLevelType w:val="hybridMultilevel"/>
    <w:tmpl w:val="6122E0FC"/>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3" w15:restartNumberingAfterBreak="0">
    <w:nsid w:val="3EB74626"/>
    <w:multiLevelType w:val="hybridMultilevel"/>
    <w:tmpl w:val="03D205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00A06D9"/>
    <w:multiLevelType w:val="hybridMultilevel"/>
    <w:tmpl w:val="535ED19A"/>
    <w:lvl w:ilvl="0" w:tplc="04090017">
      <w:start w:val="1"/>
      <w:numFmt w:val="lowerLetter"/>
      <w:lvlText w:val="%1)"/>
      <w:lvlJc w:val="left"/>
      <w:pPr>
        <w:ind w:left="708" w:hanging="360"/>
      </w:pPr>
    </w:lvl>
    <w:lvl w:ilvl="1" w:tplc="6C0A2FA8">
      <w:start w:val="1"/>
      <w:numFmt w:val="lowerLetter"/>
      <w:lvlText w:val="%2)"/>
      <w:lvlJc w:val="left"/>
      <w:pPr>
        <w:ind w:left="1428" w:hanging="360"/>
      </w:pPr>
    </w:lvl>
    <w:lvl w:ilvl="2" w:tplc="040B001B">
      <w:start w:val="1"/>
      <w:numFmt w:val="lowerRoman"/>
      <w:lvlText w:val="%3."/>
      <w:lvlJc w:val="right"/>
      <w:pPr>
        <w:ind w:left="2148" w:hanging="180"/>
      </w:pPr>
    </w:lvl>
    <w:lvl w:ilvl="3" w:tplc="040B000F">
      <w:start w:val="1"/>
      <w:numFmt w:val="decimal"/>
      <w:lvlText w:val="%4."/>
      <w:lvlJc w:val="left"/>
      <w:pPr>
        <w:ind w:left="2868" w:hanging="360"/>
      </w:pPr>
    </w:lvl>
    <w:lvl w:ilvl="4" w:tplc="040B0019">
      <w:start w:val="1"/>
      <w:numFmt w:val="lowerLetter"/>
      <w:lvlText w:val="%5."/>
      <w:lvlJc w:val="left"/>
      <w:pPr>
        <w:ind w:left="3588" w:hanging="360"/>
      </w:pPr>
    </w:lvl>
    <w:lvl w:ilvl="5" w:tplc="040B001B">
      <w:start w:val="1"/>
      <w:numFmt w:val="lowerRoman"/>
      <w:lvlText w:val="%6."/>
      <w:lvlJc w:val="right"/>
      <w:pPr>
        <w:ind w:left="4308" w:hanging="180"/>
      </w:pPr>
    </w:lvl>
    <w:lvl w:ilvl="6" w:tplc="040B000F">
      <w:start w:val="1"/>
      <w:numFmt w:val="decimal"/>
      <w:lvlText w:val="%7."/>
      <w:lvlJc w:val="left"/>
      <w:pPr>
        <w:ind w:left="5028" w:hanging="360"/>
      </w:pPr>
    </w:lvl>
    <w:lvl w:ilvl="7" w:tplc="040B0019">
      <w:start w:val="1"/>
      <w:numFmt w:val="lowerLetter"/>
      <w:lvlText w:val="%8."/>
      <w:lvlJc w:val="left"/>
      <w:pPr>
        <w:ind w:left="5748" w:hanging="360"/>
      </w:pPr>
    </w:lvl>
    <w:lvl w:ilvl="8" w:tplc="040B001B">
      <w:start w:val="1"/>
      <w:numFmt w:val="lowerRoman"/>
      <w:lvlText w:val="%9."/>
      <w:lvlJc w:val="right"/>
      <w:pPr>
        <w:ind w:left="6468" w:hanging="180"/>
      </w:pPr>
    </w:lvl>
  </w:abstractNum>
  <w:abstractNum w:abstractNumId="25" w15:restartNumberingAfterBreak="0">
    <w:nsid w:val="434B4DEC"/>
    <w:multiLevelType w:val="hybridMultilevel"/>
    <w:tmpl w:val="CDCA52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6E212D3"/>
    <w:multiLevelType w:val="hybridMultilevel"/>
    <w:tmpl w:val="F4D070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88A1E59"/>
    <w:multiLevelType w:val="hybridMultilevel"/>
    <w:tmpl w:val="15A6F1A2"/>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4D5C78EE"/>
    <w:multiLevelType w:val="multilevel"/>
    <w:tmpl w:val="DC9CD284"/>
    <w:styleLink w:val="XXXNummerierung"/>
    <w:lvl w:ilvl="0">
      <w:start w:val="1"/>
      <w:numFmt w:val="decimal"/>
      <w:pStyle w:val="textenumeration"/>
      <w:lvlText w:val="(%1)"/>
      <w:lvlJc w:val="left"/>
      <w:pPr>
        <w:ind w:left="357" w:hanging="357"/>
      </w:pPr>
      <w:rPr>
        <w:rFonts w:hint="default"/>
        <w:b w:val="0"/>
        <w:sz w:val="2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9" w15:restartNumberingAfterBreak="0">
    <w:nsid w:val="4FBC28DE"/>
    <w:multiLevelType w:val="hybridMultilevel"/>
    <w:tmpl w:val="9C38B0AC"/>
    <w:lvl w:ilvl="0" w:tplc="A8C047EC">
      <w:numFmt w:val="bullet"/>
      <w:lvlText w:val="-"/>
      <w:lvlJc w:val="left"/>
      <w:pPr>
        <w:ind w:left="720" w:hanging="360"/>
      </w:pPr>
      <w:rPr>
        <w:rFonts w:ascii="Times New Roman" w:eastAsiaTheme="minorHAnsi" w:hAnsi="Times New Roman"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4121A6"/>
    <w:multiLevelType w:val="hybridMultilevel"/>
    <w:tmpl w:val="D9A2D1F0"/>
    <w:lvl w:ilvl="0" w:tplc="CB481F1E">
      <w:start w:val="1"/>
      <w:numFmt w:val="decimal"/>
      <w:lvlText w:val="(%1)"/>
      <w:lvlJc w:val="left"/>
      <w:pPr>
        <w:ind w:left="360" w:hanging="360"/>
      </w:pPr>
      <w:rPr>
        <w:rFonts w:hint="default"/>
        <w:b w:val="0"/>
      </w:rPr>
    </w:lvl>
    <w:lvl w:ilvl="1" w:tplc="FF700BB4">
      <w:start w:val="1"/>
      <w:numFmt w:val="lowerLetter"/>
      <w:lvlText w:val="(%2)"/>
      <w:lvlJc w:val="left"/>
      <w:pPr>
        <w:ind w:left="1080" w:hanging="360"/>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6043038"/>
    <w:multiLevelType w:val="hybridMultilevel"/>
    <w:tmpl w:val="535ED19A"/>
    <w:lvl w:ilvl="0" w:tplc="04090017">
      <w:start w:val="1"/>
      <w:numFmt w:val="lowerLetter"/>
      <w:lvlText w:val="%1)"/>
      <w:lvlJc w:val="left"/>
      <w:pPr>
        <w:ind w:left="1068" w:hanging="360"/>
      </w:pPr>
    </w:lvl>
    <w:lvl w:ilvl="1" w:tplc="6C0A2FA8">
      <w:start w:val="1"/>
      <w:numFmt w:val="lowerLetter"/>
      <w:lvlText w:val="%2)"/>
      <w:lvlJc w:val="left"/>
      <w:pPr>
        <w:ind w:left="1788" w:hanging="360"/>
      </w:pPr>
    </w:lvl>
    <w:lvl w:ilvl="2" w:tplc="040B001B">
      <w:start w:val="1"/>
      <w:numFmt w:val="lowerRoman"/>
      <w:lvlText w:val="%3."/>
      <w:lvlJc w:val="right"/>
      <w:pPr>
        <w:ind w:left="2508" w:hanging="180"/>
      </w:pPr>
    </w:lvl>
    <w:lvl w:ilvl="3" w:tplc="040B000F">
      <w:start w:val="1"/>
      <w:numFmt w:val="decimal"/>
      <w:lvlText w:val="%4."/>
      <w:lvlJc w:val="left"/>
      <w:pPr>
        <w:ind w:left="3228" w:hanging="360"/>
      </w:pPr>
    </w:lvl>
    <w:lvl w:ilvl="4" w:tplc="040B0019">
      <w:start w:val="1"/>
      <w:numFmt w:val="lowerLetter"/>
      <w:lvlText w:val="%5."/>
      <w:lvlJc w:val="left"/>
      <w:pPr>
        <w:ind w:left="3948" w:hanging="360"/>
      </w:pPr>
    </w:lvl>
    <w:lvl w:ilvl="5" w:tplc="040B001B">
      <w:start w:val="1"/>
      <w:numFmt w:val="lowerRoman"/>
      <w:lvlText w:val="%6."/>
      <w:lvlJc w:val="right"/>
      <w:pPr>
        <w:ind w:left="4668" w:hanging="180"/>
      </w:pPr>
    </w:lvl>
    <w:lvl w:ilvl="6" w:tplc="040B000F">
      <w:start w:val="1"/>
      <w:numFmt w:val="decimal"/>
      <w:lvlText w:val="%7."/>
      <w:lvlJc w:val="left"/>
      <w:pPr>
        <w:ind w:left="5388" w:hanging="360"/>
      </w:pPr>
    </w:lvl>
    <w:lvl w:ilvl="7" w:tplc="040B0019">
      <w:start w:val="1"/>
      <w:numFmt w:val="lowerLetter"/>
      <w:lvlText w:val="%8."/>
      <w:lvlJc w:val="left"/>
      <w:pPr>
        <w:ind w:left="6108" w:hanging="360"/>
      </w:pPr>
    </w:lvl>
    <w:lvl w:ilvl="8" w:tplc="040B001B">
      <w:start w:val="1"/>
      <w:numFmt w:val="lowerRoman"/>
      <w:lvlText w:val="%9."/>
      <w:lvlJc w:val="right"/>
      <w:pPr>
        <w:ind w:left="6828" w:hanging="180"/>
      </w:pPr>
    </w:lvl>
  </w:abstractNum>
  <w:abstractNum w:abstractNumId="32" w15:restartNumberingAfterBreak="0">
    <w:nsid w:val="588062C8"/>
    <w:multiLevelType w:val="hybridMultilevel"/>
    <w:tmpl w:val="4152446A"/>
    <w:lvl w:ilvl="0" w:tplc="A39037C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D405F4"/>
    <w:multiLevelType w:val="hybridMultilevel"/>
    <w:tmpl w:val="4DE6DF3A"/>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4" w15:restartNumberingAfterBreak="0">
    <w:nsid w:val="5CAC7933"/>
    <w:multiLevelType w:val="hybridMultilevel"/>
    <w:tmpl w:val="6B40ED52"/>
    <w:lvl w:ilvl="0" w:tplc="B29231BC">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D4A3354"/>
    <w:multiLevelType w:val="multilevel"/>
    <w:tmpl w:val="080C001F"/>
    <w:styleLink w:val="XXXList"/>
    <w:lvl w:ilvl="0">
      <w:start w:val="1"/>
      <w:numFmt w:val="decimal"/>
      <w:lvlText w:val="%1."/>
      <w:lvlJc w:val="left"/>
      <w:pPr>
        <w:ind w:left="360" w:hanging="360"/>
      </w:pPr>
      <w:rPr>
        <w:rFonts w:hint="default"/>
        <w:b/>
        <w:i w:val="0"/>
        <w:color w:val="23236E" w:themeColor="text2"/>
        <w:sz w:val="28"/>
        <w:u w:color="23236E" w:themeColor="text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b/>
        <w:i w:val="0"/>
        <w:color w:val="23236E" w:themeColor="text2"/>
        <w:sz w:val="28"/>
        <w:u w:color="23236E" w:themeColor="text2"/>
      </w:rPr>
    </w:lvl>
  </w:abstractNum>
  <w:abstractNum w:abstractNumId="36" w15:restartNumberingAfterBreak="0">
    <w:nsid w:val="5EF63C7D"/>
    <w:multiLevelType w:val="multilevel"/>
    <w:tmpl w:val="F9A00892"/>
    <w:styleLink w:val="XXXBulletList"/>
    <w:lvl w:ilvl="0">
      <w:start w:val="1"/>
      <w:numFmt w:val="bullet"/>
      <w:pStyle w:val="decisionbullet1"/>
      <w:lvlText w:val="‒"/>
      <w:lvlJc w:val="left"/>
      <w:pPr>
        <w:ind w:left="357" w:hanging="357"/>
      </w:pPr>
      <w:rPr>
        <w:rFonts w:ascii="Calibri" w:hAnsi="Calibri" w:hint="default"/>
        <w:color w:val="auto"/>
        <w:sz w:val="22"/>
      </w:rPr>
    </w:lvl>
    <w:lvl w:ilvl="1">
      <w:start w:val="1"/>
      <w:numFmt w:val="bullet"/>
      <w:pStyle w:val="decisionbullet2"/>
      <w:lvlText w:val="‒"/>
      <w:lvlJc w:val="left"/>
      <w:pPr>
        <w:ind w:left="374" w:hanging="17"/>
      </w:pPr>
      <w:rPr>
        <w:rFonts w:ascii="Times New Roman" w:hAnsi="Times New Roman" w:cs="Times New Roman" w:hint="default"/>
        <w:color w:val="auto"/>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7" w15:restartNumberingAfterBreak="0">
    <w:nsid w:val="642B1B46"/>
    <w:multiLevelType w:val="hybridMultilevel"/>
    <w:tmpl w:val="5700F712"/>
    <w:lvl w:ilvl="0" w:tplc="CB481F1E">
      <w:start w:val="1"/>
      <w:numFmt w:val="decimal"/>
      <w:lvlText w:val="(%1)"/>
      <w:lvlJc w:val="left"/>
      <w:pPr>
        <w:ind w:left="360" w:hanging="360"/>
      </w:pPr>
      <w:rPr>
        <w:rFonts w:hint="default"/>
        <w:b w:val="0"/>
      </w:rPr>
    </w:lvl>
    <w:lvl w:ilvl="1" w:tplc="FF700BB4">
      <w:start w:val="1"/>
      <w:numFmt w:val="lowerLetter"/>
      <w:lvlText w:val="(%2)"/>
      <w:lvlJc w:val="left"/>
      <w:pPr>
        <w:ind w:left="1080" w:hanging="360"/>
      </w:pPr>
      <w:rPr>
        <w:rFonts w:hint="default"/>
        <w:b w:val="0"/>
      </w:r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8" w15:restartNumberingAfterBreak="0">
    <w:nsid w:val="6754518E"/>
    <w:multiLevelType w:val="hybridMultilevel"/>
    <w:tmpl w:val="FC328E00"/>
    <w:lvl w:ilvl="0" w:tplc="CB481F1E">
      <w:start w:val="1"/>
      <w:numFmt w:val="decimal"/>
      <w:lvlText w:val="(%1)"/>
      <w:lvlJc w:val="left"/>
      <w:pPr>
        <w:ind w:left="360" w:hanging="360"/>
      </w:pPr>
      <w:rPr>
        <w:rFonts w:hint="default"/>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9" w15:restartNumberingAfterBreak="0">
    <w:nsid w:val="69F77E36"/>
    <w:multiLevelType w:val="hybridMultilevel"/>
    <w:tmpl w:val="7D4661B8"/>
    <w:lvl w:ilvl="0" w:tplc="FF700BB4">
      <w:start w:val="1"/>
      <w:numFmt w:val="lowerLetter"/>
      <w:lvlText w:val="(%1)"/>
      <w:lvlJc w:val="left"/>
      <w:pPr>
        <w:ind w:left="360" w:hanging="360"/>
      </w:pPr>
      <w:rPr>
        <w:rFonts w:hint="default"/>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0" w15:restartNumberingAfterBreak="0">
    <w:nsid w:val="70F36178"/>
    <w:multiLevelType w:val="hybridMultilevel"/>
    <w:tmpl w:val="76786EA8"/>
    <w:lvl w:ilvl="0" w:tplc="FF700BB4">
      <w:start w:val="1"/>
      <w:numFmt w:val="lowerLetter"/>
      <w:lvlText w:val="(%1)"/>
      <w:lvlJc w:val="left"/>
      <w:pPr>
        <w:ind w:left="1068" w:hanging="360"/>
      </w:pPr>
      <w:rPr>
        <w:rFonts w:hint="default"/>
        <w:b w:val="0"/>
      </w:r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41" w15:restartNumberingAfterBreak="0">
    <w:nsid w:val="73427D1E"/>
    <w:multiLevelType w:val="hybridMultilevel"/>
    <w:tmpl w:val="A3DA693C"/>
    <w:lvl w:ilvl="0" w:tplc="CB481F1E">
      <w:start w:val="1"/>
      <w:numFmt w:val="decimal"/>
      <w:lvlText w:val="(%1)"/>
      <w:lvlJc w:val="left"/>
      <w:pPr>
        <w:ind w:left="360" w:hanging="360"/>
      </w:pPr>
      <w:rPr>
        <w:rFonts w:hint="default"/>
        <w:b w:val="0"/>
      </w:rPr>
    </w:lvl>
    <w:lvl w:ilvl="1" w:tplc="FF700BB4">
      <w:start w:val="1"/>
      <w:numFmt w:val="lowerLetter"/>
      <w:lvlText w:val="(%2)"/>
      <w:lvlJc w:val="left"/>
      <w:pPr>
        <w:ind w:left="1080" w:hanging="360"/>
      </w:pPr>
      <w:rPr>
        <w:rFonts w:hint="default"/>
        <w:b w:val="0"/>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35"/>
  </w:num>
  <w:num w:numId="2">
    <w:abstractNumId w:val="36"/>
  </w:num>
  <w:num w:numId="3">
    <w:abstractNumId w:val="28"/>
  </w:num>
  <w:num w:numId="4">
    <w:abstractNumId w:val="14"/>
  </w:num>
  <w:num w:numId="5">
    <w:abstractNumId w:val="5"/>
  </w:num>
  <w:num w:numId="6">
    <w:abstractNumId w:val="9"/>
  </w:num>
  <w:num w:numId="7">
    <w:abstractNumId w:val="31"/>
  </w:num>
  <w:num w:numId="8">
    <w:abstractNumId w:val="20"/>
  </w:num>
  <w:num w:numId="9">
    <w:abstractNumId w:val="3"/>
  </w:num>
  <w:num w:numId="10">
    <w:abstractNumId w:val="15"/>
  </w:num>
  <w:num w:numId="11">
    <w:abstractNumId w:val="21"/>
  </w:num>
  <w:num w:numId="12">
    <w:abstractNumId w:val="7"/>
  </w:num>
  <w:num w:numId="13">
    <w:abstractNumId w:val="25"/>
  </w:num>
  <w:num w:numId="14">
    <w:abstractNumId w:val="37"/>
  </w:num>
  <w:num w:numId="15">
    <w:abstractNumId w:val="10"/>
  </w:num>
  <w:num w:numId="16">
    <w:abstractNumId w:val="24"/>
  </w:num>
  <w:num w:numId="17">
    <w:abstractNumId w:val="2"/>
  </w:num>
  <w:num w:numId="18">
    <w:abstractNumId w:val="27"/>
  </w:num>
  <w:num w:numId="19">
    <w:abstractNumId w:val="11"/>
  </w:num>
  <w:num w:numId="20">
    <w:abstractNumId w:val="13"/>
  </w:num>
  <w:num w:numId="21">
    <w:abstractNumId w:val="23"/>
  </w:num>
  <w:num w:numId="22">
    <w:abstractNumId w:val="26"/>
  </w:num>
  <w:num w:numId="23">
    <w:abstractNumId w:val="33"/>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38"/>
  </w:num>
  <w:num w:numId="28">
    <w:abstractNumId w:val="16"/>
  </w:num>
  <w:num w:numId="29">
    <w:abstractNumId w:val="6"/>
  </w:num>
  <w:num w:numId="30">
    <w:abstractNumId w:val="41"/>
  </w:num>
  <w:num w:numId="31">
    <w:abstractNumId w:val="22"/>
  </w:num>
  <w:num w:numId="32">
    <w:abstractNumId w:val="0"/>
  </w:num>
  <w:num w:numId="33">
    <w:abstractNumId w:val="34"/>
  </w:num>
  <w:num w:numId="34">
    <w:abstractNumId w:val="28"/>
    <w:lvlOverride w:ilvl="0">
      <w:lvl w:ilvl="0">
        <w:start w:val="1"/>
        <w:numFmt w:val="decimal"/>
        <w:pStyle w:val="textenumeration"/>
        <w:lvlText w:val="(%1)"/>
        <w:lvlJc w:val="left"/>
        <w:pPr>
          <w:ind w:left="360" w:hanging="360"/>
        </w:pPr>
        <w:rPr>
          <w:rFonts w:hint="default"/>
          <w:sz w:val="22"/>
        </w:rPr>
      </w:lvl>
    </w:lvlOverride>
    <w:lvlOverride w:ilvl="1">
      <w:lvl w:ilvl="1">
        <w:start w:val="1"/>
        <w:numFmt w:val="lowerLetter"/>
        <w:lvlText w:val="(%2)"/>
        <w:lvlJc w:val="left"/>
        <w:pPr>
          <w:ind w:left="0" w:firstLine="0"/>
        </w:pPr>
        <w:rPr>
          <w:rFonts w:hint="default"/>
          <w:b w:val="0"/>
        </w:rPr>
      </w:lvl>
    </w:lvlOverride>
    <w:lvlOverride w:ilvl="2">
      <w:lvl w:ilvl="2">
        <w:start w:val="1"/>
        <w:numFmt w:val="none"/>
        <w:lvlText w:val=""/>
        <w:lvlJc w:val="left"/>
        <w:pPr>
          <w:ind w:left="0" w:firstLine="0"/>
        </w:pPr>
        <w:rPr>
          <w:rFonts w:hint="default"/>
        </w:rPr>
      </w:lvl>
    </w:lvlOverride>
    <w:lvlOverride w:ilvl="3">
      <w:lvl w:ilvl="3">
        <w:start w:val="1"/>
        <w:numFmt w:val="none"/>
        <w:lvlText w:val=""/>
        <w:lvlJc w:val="left"/>
        <w:pPr>
          <w:ind w:left="0" w:firstLine="0"/>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35">
    <w:abstractNumId w:val="28"/>
    <w:lvlOverride w:ilvl="0">
      <w:startOverride w:val="1"/>
      <w:lvl w:ilvl="0">
        <w:start w:val="1"/>
        <w:numFmt w:val="decimal"/>
        <w:pStyle w:val="textenumeration"/>
        <w:lvlText w:val="(%1)"/>
        <w:lvlJc w:val="left"/>
        <w:pPr>
          <w:ind w:left="360" w:hanging="360"/>
        </w:pPr>
        <w:rPr>
          <w:rFonts w:hint="default"/>
          <w:sz w:val="22"/>
        </w:rPr>
      </w:lvl>
    </w:lvlOverride>
    <w:lvlOverride w:ilvl="1">
      <w:startOverride w:val="1"/>
      <w:lvl w:ilvl="1">
        <w:start w:val="1"/>
        <w:numFmt w:val="lowerLetter"/>
        <w:lvlText w:val="(%2)"/>
        <w:lvlJc w:val="left"/>
        <w:pPr>
          <w:ind w:left="0" w:firstLine="0"/>
        </w:pPr>
        <w:rPr>
          <w:rFonts w:hint="default"/>
          <w:b w:val="0"/>
        </w:rPr>
      </w:lvl>
    </w:lvlOverride>
    <w:lvlOverride w:ilvl="2">
      <w:startOverride w:val="1"/>
      <w:lvl w:ilvl="2">
        <w:start w:val="1"/>
        <w:numFmt w:val="none"/>
        <w:lvlText w:val=""/>
        <w:lvlJc w:val="left"/>
        <w:pPr>
          <w:ind w:left="0" w:firstLine="0"/>
        </w:pPr>
        <w:rPr>
          <w:rFonts w:hint="default"/>
        </w:rPr>
      </w:lvl>
    </w:lvlOverride>
    <w:lvlOverride w:ilvl="3">
      <w:startOverride w:val="1"/>
      <w:lvl w:ilvl="3">
        <w:start w:val="1"/>
        <w:numFmt w:val="none"/>
        <w:lvlText w:val=""/>
        <w:lvlJc w:val="left"/>
        <w:pPr>
          <w:ind w:left="0" w:firstLine="0"/>
        </w:pPr>
        <w:rPr>
          <w:rFonts w:hint="default"/>
        </w:rPr>
      </w:lvl>
    </w:lvlOverride>
    <w:lvlOverride w:ilvl="4">
      <w:startOverride w:val="1"/>
      <w:lvl w:ilvl="4">
        <w:start w:val="1"/>
        <w:numFmt w:val="none"/>
        <w:lvlText w:val=""/>
        <w:lvlJc w:val="left"/>
        <w:pPr>
          <w:ind w:left="0" w:firstLine="0"/>
        </w:pPr>
        <w:rPr>
          <w:rFonts w:hint="default"/>
        </w:rPr>
      </w:lvl>
    </w:lvlOverride>
    <w:lvlOverride w:ilvl="5">
      <w:startOverride w:val="1"/>
      <w:lvl w:ilvl="5">
        <w:start w:val="1"/>
        <w:numFmt w:val="none"/>
        <w:lvlText w:val=""/>
        <w:lvlJc w:val="left"/>
        <w:pPr>
          <w:ind w:left="0" w:firstLine="0"/>
        </w:pPr>
        <w:rPr>
          <w:rFonts w:hint="default"/>
        </w:rPr>
      </w:lvl>
    </w:lvlOverride>
    <w:lvlOverride w:ilvl="6">
      <w:startOverride w:val="1"/>
      <w:lvl w:ilvl="6">
        <w:start w:val="1"/>
        <w:numFmt w:val="none"/>
        <w:lvlText w:val=""/>
        <w:lvlJc w:val="left"/>
        <w:pPr>
          <w:ind w:left="0" w:firstLine="0"/>
        </w:pPr>
        <w:rPr>
          <w:rFonts w:hint="default"/>
        </w:rPr>
      </w:lvl>
    </w:lvlOverride>
    <w:lvlOverride w:ilvl="7">
      <w:startOverride w:val="1"/>
      <w:lvl w:ilvl="7">
        <w:start w:val="1"/>
        <w:numFmt w:val="none"/>
        <w:lvlText w:val=""/>
        <w:lvlJc w:val="left"/>
        <w:pPr>
          <w:ind w:left="0" w:firstLine="0"/>
        </w:pPr>
        <w:rPr>
          <w:rFonts w:hint="default"/>
        </w:rPr>
      </w:lvl>
    </w:lvlOverride>
    <w:lvlOverride w:ilvl="8">
      <w:startOverride w:val="1"/>
      <w:lvl w:ilvl="8">
        <w:start w:val="1"/>
        <w:numFmt w:val="none"/>
        <w:lvlText w:val=""/>
        <w:lvlJc w:val="left"/>
        <w:pPr>
          <w:ind w:left="0" w:firstLine="0"/>
        </w:pPr>
        <w:rPr>
          <w:rFonts w:hint="default"/>
        </w:rPr>
      </w:lvl>
    </w:lvlOverride>
  </w:num>
  <w:num w:numId="36">
    <w:abstractNumId w:val="12"/>
  </w:num>
  <w:num w:numId="37">
    <w:abstractNumId w:val="4"/>
  </w:num>
  <w:num w:numId="38">
    <w:abstractNumId w:val="29"/>
  </w:num>
  <w:num w:numId="39">
    <w:abstractNumId w:val="39"/>
  </w:num>
  <w:num w:numId="40">
    <w:abstractNumId w:val="40"/>
  </w:num>
  <w:num w:numId="41">
    <w:abstractNumId w:val="32"/>
  </w:num>
  <w:num w:numId="42">
    <w:abstractNumId w:val="18"/>
  </w:num>
  <w:num w:numId="43">
    <w:abstractNumId w:val="1"/>
  </w:num>
  <w:num w:numId="44">
    <w:abstractNumId w:val="19"/>
  </w:num>
  <w:num w:numId="45">
    <w:abstractNumId w:val="8"/>
  </w:num>
  <w:num w:numId="46">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attachedTemplate r:id="rId1"/>
  <w:trackRevisions/>
  <w:defaultTabStop w:val="708"/>
  <w:hyphenationZone w:val="425"/>
  <w:drawingGridHorizontalSpacing w:val="110"/>
  <w:displayHorizontalDrawingGridEvery w:val="2"/>
  <w:characterSpacingControl w:val="doNotCompress"/>
  <w:hdrShapeDefaults>
    <o:shapedefaults v:ext="edit" spidmax="30721" style="mso-position-horizontal-relative:page;mso-position-vertical-relative:page" strokecolor="none [3215]">
      <v:stroke color="none [3215]" weight="1p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F07"/>
    <w:rsid w:val="00000249"/>
    <w:rsid w:val="000005BD"/>
    <w:rsid w:val="0000065C"/>
    <w:rsid w:val="000045A3"/>
    <w:rsid w:val="00005A9C"/>
    <w:rsid w:val="00006873"/>
    <w:rsid w:val="00007BD6"/>
    <w:rsid w:val="000107FF"/>
    <w:rsid w:val="000118B0"/>
    <w:rsid w:val="0001415A"/>
    <w:rsid w:val="0001473E"/>
    <w:rsid w:val="00015488"/>
    <w:rsid w:val="0001595A"/>
    <w:rsid w:val="000173D6"/>
    <w:rsid w:val="000201AD"/>
    <w:rsid w:val="000235E9"/>
    <w:rsid w:val="00023C94"/>
    <w:rsid w:val="00024681"/>
    <w:rsid w:val="00027936"/>
    <w:rsid w:val="00027B57"/>
    <w:rsid w:val="00027D30"/>
    <w:rsid w:val="00030180"/>
    <w:rsid w:val="000313A1"/>
    <w:rsid w:val="0003180F"/>
    <w:rsid w:val="0003218B"/>
    <w:rsid w:val="0003392C"/>
    <w:rsid w:val="00034D13"/>
    <w:rsid w:val="000357A0"/>
    <w:rsid w:val="00035A65"/>
    <w:rsid w:val="00035E73"/>
    <w:rsid w:val="00036F87"/>
    <w:rsid w:val="000372F9"/>
    <w:rsid w:val="00037F66"/>
    <w:rsid w:val="00042115"/>
    <w:rsid w:val="00042D86"/>
    <w:rsid w:val="000456FB"/>
    <w:rsid w:val="00046D0D"/>
    <w:rsid w:val="00046FC1"/>
    <w:rsid w:val="000476E6"/>
    <w:rsid w:val="0005078C"/>
    <w:rsid w:val="000508B7"/>
    <w:rsid w:val="000509C8"/>
    <w:rsid w:val="000512FA"/>
    <w:rsid w:val="00054050"/>
    <w:rsid w:val="00054094"/>
    <w:rsid w:val="00054DCE"/>
    <w:rsid w:val="000553FF"/>
    <w:rsid w:val="00060ECA"/>
    <w:rsid w:val="000627C7"/>
    <w:rsid w:val="00062E48"/>
    <w:rsid w:val="000640E2"/>
    <w:rsid w:val="0006467A"/>
    <w:rsid w:val="00064B61"/>
    <w:rsid w:val="00064F13"/>
    <w:rsid w:val="00066B1E"/>
    <w:rsid w:val="00071A78"/>
    <w:rsid w:val="00071EB4"/>
    <w:rsid w:val="0007274E"/>
    <w:rsid w:val="000735DF"/>
    <w:rsid w:val="00073A78"/>
    <w:rsid w:val="000743C5"/>
    <w:rsid w:val="00074CE0"/>
    <w:rsid w:val="000750F3"/>
    <w:rsid w:val="000763F9"/>
    <w:rsid w:val="0007707B"/>
    <w:rsid w:val="00077900"/>
    <w:rsid w:val="00083A76"/>
    <w:rsid w:val="00083F22"/>
    <w:rsid w:val="00084474"/>
    <w:rsid w:val="00085222"/>
    <w:rsid w:val="00087731"/>
    <w:rsid w:val="000877E3"/>
    <w:rsid w:val="000913C7"/>
    <w:rsid w:val="00091A35"/>
    <w:rsid w:val="00092C31"/>
    <w:rsid w:val="0009375D"/>
    <w:rsid w:val="0009502C"/>
    <w:rsid w:val="00095B96"/>
    <w:rsid w:val="000961F8"/>
    <w:rsid w:val="000A0308"/>
    <w:rsid w:val="000A11C8"/>
    <w:rsid w:val="000A14DA"/>
    <w:rsid w:val="000A31F3"/>
    <w:rsid w:val="000A3FB8"/>
    <w:rsid w:val="000A44D4"/>
    <w:rsid w:val="000A45F7"/>
    <w:rsid w:val="000A4701"/>
    <w:rsid w:val="000A5349"/>
    <w:rsid w:val="000A6D80"/>
    <w:rsid w:val="000A7F43"/>
    <w:rsid w:val="000B23F1"/>
    <w:rsid w:val="000B2D2E"/>
    <w:rsid w:val="000B3826"/>
    <w:rsid w:val="000B4043"/>
    <w:rsid w:val="000B5C3F"/>
    <w:rsid w:val="000B5F21"/>
    <w:rsid w:val="000C007D"/>
    <w:rsid w:val="000C02AA"/>
    <w:rsid w:val="000C0631"/>
    <w:rsid w:val="000C081E"/>
    <w:rsid w:val="000C2540"/>
    <w:rsid w:val="000C2972"/>
    <w:rsid w:val="000C4633"/>
    <w:rsid w:val="000C4922"/>
    <w:rsid w:val="000C50C7"/>
    <w:rsid w:val="000C5F91"/>
    <w:rsid w:val="000C777B"/>
    <w:rsid w:val="000C7E3E"/>
    <w:rsid w:val="000D107F"/>
    <w:rsid w:val="000D1A83"/>
    <w:rsid w:val="000D1F5E"/>
    <w:rsid w:val="000D2604"/>
    <w:rsid w:val="000D305C"/>
    <w:rsid w:val="000D360E"/>
    <w:rsid w:val="000D4815"/>
    <w:rsid w:val="000D4E84"/>
    <w:rsid w:val="000D6306"/>
    <w:rsid w:val="000D6CF2"/>
    <w:rsid w:val="000D6DDD"/>
    <w:rsid w:val="000D7AA3"/>
    <w:rsid w:val="000E0873"/>
    <w:rsid w:val="000E1334"/>
    <w:rsid w:val="000E1BB6"/>
    <w:rsid w:val="000E1F0F"/>
    <w:rsid w:val="000E268A"/>
    <w:rsid w:val="000E32FA"/>
    <w:rsid w:val="000E41B2"/>
    <w:rsid w:val="000E498C"/>
    <w:rsid w:val="000E4CD5"/>
    <w:rsid w:val="000E5E19"/>
    <w:rsid w:val="000E6359"/>
    <w:rsid w:val="000E7214"/>
    <w:rsid w:val="000E7622"/>
    <w:rsid w:val="000F0261"/>
    <w:rsid w:val="000F0523"/>
    <w:rsid w:val="000F0E82"/>
    <w:rsid w:val="000F105D"/>
    <w:rsid w:val="000F1606"/>
    <w:rsid w:val="000F1D46"/>
    <w:rsid w:val="000F1F21"/>
    <w:rsid w:val="000F2416"/>
    <w:rsid w:val="000F2805"/>
    <w:rsid w:val="000F2853"/>
    <w:rsid w:val="000F415F"/>
    <w:rsid w:val="000F45F8"/>
    <w:rsid w:val="000F4D26"/>
    <w:rsid w:val="000F51E7"/>
    <w:rsid w:val="000F5893"/>
    <w:rsid w:val="000F693C"/>
    <w:rsid w:val="000F6AFA"/>
    <w:rsid w:val="000F76EF"/>
    <w:rsid w:val="00100200"/>
    <w:rsid w:val="0010092F"/>
    <w:rsid w:val="00101814"/>
    <w:rsid w:val="00102A02"/>
    <w:rsid w:val="00102C27"/>
    <w:rsid w:val="0010511E"/>
    <w:rsid w:val="001067A9"/>
    <w:rsid w:val="00107537"/>
    <w:rsid w:val="00107A15"/>
    <w:rsid w:val="0011078E"/>
    <w:rsid w:val="00112014"/>
    <w:rsid w:val="00112320"/>
    <w:rsid w:val="00112580"/>
    <w:rsid w:val="00113784"/>
    <w:rsid w:val="001170AF"/>
    <w:rsid w:val="00117B32"/>
    <w:rsid w:val="00120464"/>
    <w:rsid w:val="00121263"/>
    <w:rsid w:val="001220EC"/>
    <w:rsid w:val="00122521"/>
    <w:rsid w:val="00122813"/>
    <w:rsid w:val="00122A27"/>
    <w:rsid w:val="00122F33"/>
    <w:rsid w:val="001246DB"/>
    <w:rsid w:val="00125519"/>
    <w:rsid w:val="00130051"/>
    <w:rsid w:val="001307C3"/>
    <w:rsid w:val="00135071"/>
    <w:rsid w:val="0013573E"/>
    <w:rsid w:val="00135E6D"/>
    <w:rsid w:val="001365FE"/>
    <w:rsid w:val="001371B2"/>
    <w:rsid w:val="00137D58"/>
    <w:rsid w:val="001409BF"/>
    <w:rsid w:val="00146E16"/>
    <w:rsid w:val="00150435"/>
    <w:rsid w:val="00150694"/>
    <w:rsid w:val="00150858"/>
    <w:rsid w:val="00151B4A"/>
    <w:rsid w:val="00151D7B"/>
    <w:rsid w:val="00152CAE"/>
    <w:rsid w:val="00153331"/>
    <w:rsid w:val="001534DD"/>
    <w:rsid w:val="001540CD"/>
    <w:rsid w:val="001608DF"/>
    <w:rsid w:val="00161CD5"/>
    <w:rsid w:val="00162B68"/>
    <w:rsid w:val="001636B3"/>
    <w:rsid w:val="00165FDE"/>
    <w:rsid w:val="001675C6"/>
    <w:rsid w:val="00170027"/>
    <w:rsid w:val="0017012E"/>
    <w:rsid w:val="001703AB"/>
    <w:rsid w:val="00170530"/>
    <w:rsid w:val="0017088D"/>
    <w:rsid w:val="00170F1D"/>
    <w:rsid w:val="0017120A"/>
    <w:rsid w:val="00173EF2"/>
    <w:rsid w:val="00174BFF"/>
    <w:rsid w:val="00175575"/>
    <w:rsid w:val="00176BC1"/>
    <w:rsid w:val="001779B1"/>
    <w:rsid w:val="001827D8"/>
    <w:rsid w:val="00182A4D"/>
    <w:rsid w:val="00182C03"/>
    <w:rsid w:val="0018322B"/>
    <w:rsid w:val="00183705"/>
    <w:rsid w:val="00184917"/>
    <w:rsid w:val="001853A1"/>
    <w:rsid w:val="0018540A"/>
    <w:rsid w:val="00185446"/>
    <w:rsid w:val="001859C7"/>
    <w:rsid w:val="00186689"/>
    <w:rsid w:val="00186BD1"/>
    <w:rsid w:val="00186C7D"/>
    <w:rsid w:val="0018757E"/>
    <w:rsid w:val="00187BB9"/>
    <w:rsid w:val="0019031B"/>
    <w:rsid w:val="001915B1"/>
    <w:rsid w:val="00191EF2"/>
    <w:rsid w:val="00192EF1"/>
    <w:rsid w:val="00193E9E"/>
    <w:rsid w:val="00194D05"/>
    <w:rsid w:val="0019632F"/>
    <w:rsid w:val="00196528"/>
    <w:rsid w:val="00197A66"/>
    <w:rsid w:val="00197F68"/>
    <w:rsid w:val="001A1670"/>
    <w:rsid w:val="001A1787"/>
    <w:rsid w:val="001A1BB5"/>
    <w:rsid w:val="001A2487"/>
    <w:rsid w:val="001A2A2A"/>
    <w:rsid w:val="001A31E0"/>
    <w:rsid w:val="001A45BB"/>
    <w:rsid w:val="001A51C2"/>
    <w:rsid w:val="001A55A2"/>
    <w:rsid w:val="001A55D3"/>
    <w:rsid w:val="001B1396"/>
    <w:rsid w:val="001B1A67"/>
    <w:rsid w:val="001B1D50"/>
    <w:rsid w:val="001B2719"/>
    <w:rsid w:val="001B2EB0"/>
    <w:rsid w:val="001B35ED"/>
    <w:rsid w:val="001B3A9B"/>
    <w:rsid w:val="001B4C4A"/>
    <w:rsid w:val="001B57E7"/>
    <w:rsid w:val="001B5E44"/>
    <w:rsid w:val="001B68DB"/>
    <w:rsid w:val="001B6BD4"/>
    <w:rsid w:val="001B71EA"/>
    <w:rsid w:val="001B79E6"/>
    <w:rsid w:val="001B7C05"/>
    <w:rsid w:val="001C02BD"/>
    <w:rsid w:val="001C064F"/>
    <w:rsid w:val="001C238F"/>
    <w:rsid w:val="001C268D"/>
    <w:rsid w:val="001C2ED2"/>
    <w:rsid w:val="001C4E4C"/>
    <w:rsid w:val="001C72A5"/>
    <w:rsid w:val="001D03F1"/>
    <w:rsid w:val="001D0606"/>
    <w:rsid w:val="001D178A"/>
    <w:rsid w:val="001D42AD"/>
    <w:rsid w:val="001D46C2"/>
    <w:rsid w:val="001D56D4"/>
    <w:rsid w:val="001D5931"/>
    <w:rsid w:val="001D61D3"/>
    <w:rsid w:val="001D713B"/>
    <w:rsid w:val="001D767B"/>
    <w:rsid w:val="001E07F1"/>
    <w:rsid w:val="001E0D37"/>
    <w:rsid w:val="001E2BE0"/>
    <w:rsid w:val="001E55C0"/>
    <w:rsid w:val="001E5F7C"/>
    <w:rsid w:val="001E6652"/>
    <w:rsid w:val="001E6868"/>
    <w:rsid w:val="001F098D"/>
    <w:rsid w:val="001F09FA"/>
    <w:rsid w:val="001F0B1A"/>
    <w:rsid w:val="001F0B88"/>
    <w:rsid w:val="001F15BE"/>
    <w:rsid w:val="001F28B9"/>
    <w:rsid w:val="001F5DBD"/>
    <w:rsid w:val="001F6D8C"/>
    <w:rsid w:val="001F79E4"/>
    <w:rsid w:val="001F7B54"/>
    <w:rsid w:val="002002F8"/>
    <w:rsid w:val="002006EC"/>
    <w:rsid w:val="00200CE7"/>
    <w:rsid w:val="002021B1"/>
    <w:rsid w:val="00203B7F"/>
    <w:rsid w:val="00205277"/>
    <w:rsid w:val="002077E6"/>
    <w:rsid w:val="002079B3"/>
    <w:rsid w:val="00211914"/>
    <w:rsid w:val="00211F92"/>
    <w:rsid w:val="00212F70"/>
    <w:rsid w:val="002140A5"/>
    <w:rsid w:val="00214558"/>
    <w:rsid w:val="00216130"/>
    <w:rsid w:val="00216EE9"/>
    <w:rsid w:val="00217B55"/>
    <w:rsid w:val="00220937"/>
    <w:rsid w:val="00220B96"/>
    <w:rsid w:val="002215F2"/>
    <w:rsid w:val="002217BE"/>
    <w:rsid w:val="00221FC8"/>
    <w:rsid w:val="00222569"/>
    <w:rsid w:val="00223F13"/>
    <w:rsid w:val="00224B07"/>
    <w:rsid w:val="00226F12"/>
    <w:rsid w:val="002275CF"/>
    <w:rsid w:val="00231F6C"/>
    <w:rsid w:val="002332FB"/>
    <w:rsid w:val="00235C1F"/>
    <w:rsid w:val="00237B9C"/>
    <w:rsid w:val="00237F76"/>
    <w:rsid w:val="00240C9D"/>
    <w:rsid w:val="0024169C"/>
    <w:rsid w:val="002432AE"/>
    <w:rsid w:val="002436FB"/>
    <w:rsid w:val="00244559"/>
    <w:rsid w:val="002466EF"/>
    <w:rsid w:val="00247449"/>
    <w:rsid w:val="002501EF"/>
    <w:rsid w:val="00250201"/>
    <w:rsid w:val="00250379"/>
    <w:rsid w:val="002507BE"/>
    <w:rsid w:val="00251EBB"/>
    <w:rsid w:val="0025204D"/>
    <w:rsid w:val="002522CF"/>
    <w:rsid w:val="00252CF4"/>
    <w:rsid w:val="00253342"/>
    <w:rsid w:val="00255697"/>
    <w:rsid w:val="00256BAE"/>
    <w:rsid w:val="002624B9"/>
    <w:rsid w:val="002628DE"/>
    <w:rsid w:val="002645FD"/>
    <w:rsid w:val="00265542"/>
    <w:rsid w:val="00266360"/>
    <w:rsid w:val="00267EAD"/>
    <w:rsid w:val="00267FB2"/>
    <w:rsid w:val="002704D4"/>
    <w:rsid w:val="0027088B"/>
    <w:rsid w:val="0027165C"/>
    <w:rsid w:val="002728FF"/>
    <w:rsid w:val="00272917"/>
    <w:rsid w:val="00273518"/>
    <w:rsid w:val="0027466F"/>
    <w:rsid w:val="002748F5"/>
    <w:rsid w:val="00274C03"/>
    <w:rsid w:val="0027521B"/>
    <w:rsid w:val="002752A9"/>
    <w:rsid w:val="002765B8"/>
    <w:rsid w:val="002766B2"/>
    <w:rsid w:val="0027780C"/>
    <w:rsid w:val="00277F1E"/>
    <w:rsid w:val="00280367"/>
    <w:rsid w:val="002811AE"/>
    <w:rsid w:val="00282C07"/>
    <w:rsid w:val="00284397"/>
    <w:rsid w:val="00284AB5"/>
    <w:rsid w:val="0028512F"/>
    <w:rsid w:val="00285B00"/>
    <w:rsid w:val="00286BE7"/>
    <w:rsid w:val="00287E44"/>
    <w:rsid w:val="00290620"/>
    <w:rsid w:val="00291680"/>
    <w:rsid w:val="002934D5"/>
    <w:rsid w:val="00294F1F"/>
    <w:rsid w:val="00295535"/>
    <w:rsid w:val="00295AA0"/>
    <w:rsid w:val="002964F8"/>
    <w:rsid w:val="0029650F"/>
    <w:rsid w:val="00296D01"/>
    <w:rsid w:val="00296E90"/>
    <w:rsid w:val="002A030C"/>
    <w:rsid w:val="002A28E6"/>
    <w:rsid w:val="002A3E99"/>
    <w:rsid w:val="002A4598"/>
    <w:rsid w:val="002A4862"/>
    <w:rsid w:val="002A533C"/>
    <w:rsid w:val="002A5603"/>
    <w:rsid w:val="002A6DA2"/>
    <w:rsid w:val="002A7432"/>
    <w:rsid w:val="002A7EA8"/>
    <w:rsid w:val="002B023E"/>
    <w:rsid w:val="002B11F6"/>
    <w:rsid w:val="002B14B8"/>
    <w:rsid w:val="002B2A81"/>
    <w:rsid w:val="002B3107"/>
    <w:rsid w:val="002B4BF6"/>
    <w:rsid w:val="002C00E4"/>
    <w:rsid w:val="002C01CE"/>
    <w:rsid w:val="002C2F40"/>
    <w:rsid w:val="002C4858"/>
    <w:rsid w:val="002C4DC9"/>
    <w:rsid w:val="002C54AF"/>
    <w:rsid w:val="002C58A2"/>
    <w:rsid w:val="002C5F0B"/>
    <w:rsid w:val="002C5F25"/>
    <w:rsid w:val="002C64DA"/>
    <w:rsid w:val="002D0372"/>
    <w:rsid w:val="002D25C6"/>
    <w:rsid w:val="002D2A1B"/>
    <w:rsid w:val="002D322B"/>
    <w:rsid w:val="002D47C5"/>
    <w:rsid w:val="002D4ADC"/>
    <w:rsid w:val="002D6AE2"/>
    <w:rsid w:val="002D7080"/>
    <w:rsid w:val="002D7546"/>
    <w:rsid w:val="002E01A6"/>
    <w:rsid w:val="002E1684"/>
    <w:rsid w:val="002E189E"/>
    <w:rsid w:val="002E2B7A"/>
    <w:rsid w:val="002E2CD0"/>
    <w:rsid w:val="002E2D38"/>
    <w:rsid w:val="002E470A"/>
    <w:rsid w:val="002E4F8E"/>
    <w:rsid w:val="002E537D"/>
    <w:rsid w:val="002E5CE0"/>
    <w:rsid w:val="002F0E39"/>
    <w:rsid w:val="002F3569"/>
    <w:rsid w:val="002F3CEC"/>
    <w:rsid w:val="002F5EFD"/>
    <w:rsid w:val="002F5F3A"/>
    <w:rsid w:val="002F5F91"/>
    <w:rsid w:val="002F664C"/>
    <w:rsid w:val="002F6B92"/>
    <w:rsid w:val="002F6F02"/>
    <w:rsid w:val="003000B2"/>
    <w:rsid w:val="00300C8C"/>
    <w:rsid w:val="00301D2D"/>
    <w:rsid w:val="00301F55"/>
    <w:rsid w:val="0030366B"/>
    <w:rsid w:val="003037F3"/>
    <w:rsid w:val="003046BE"/>
    <w:rsid w:val="00306BB5"/>
    <w:rsid w:val="00306D98"/>
    <w:rsid w:val="00307321"/>
    <w:rsid w:val="00310F51"/>
    <w:rsid w:val="0031151A"/>
    <w:rsid w:val="00312018"/>
    <w:rsid w:val="003128FE"/>
    <w:rsid w:val="00312961"/>
    <w:rsid w:val="00312ABB"/>
    <w:rsid w:val="003130C8"/>
    <w:rsid w:val="003164E8"/>
    <w:rsid w:val="0031773D"/>
    <w:rsid w:val="0032132C"/>
    <w:rsid w:val="00321683"/>
    <w:rsid w:val="0032180B"/>
    <w:rsid w:val="00323886"/>
    <w:rsid w:val="00323DEB"/>
    <w:rsid w:val="00323DF2"/>
    <w:rsid w:val="00325452"/>
    <w:rsid w:val="0032618D"/>
    <w:rsid w:val="0032652F"/>
    <w:rsid w:val="003274A2"/>
    <w:rsid w:val="00330B78"/>
    <w:rsid w:val="00331190"/>
    <w:rsid w:val="003313B1"/>
    <w:rsid w:val="003314D0"/>
    <w:rsid w:val="00332AA8"/>
    <w:rsid w:val="00333AA9"/>
    <w:rsid w:val="00333FFF"/>
    <w:rsid w:val="00337FDE"/>
    <w:rsid w:val="003402D9"/>
    <w:rsid w:val="00340ABF"/>
    <w:rsid w:val="00343087"/>
    <w:rsid w:val="00343E3F"/>
    <w:rsid w:val="00344367"/>
    <w:rsid w:val="00344AD2"/>
    <w:rsid w:val="00345F7E"/>
    <w:rsid w:val="00346AE3"/>
    <w:rsid w:val="00347B03"/>
    <w:rsid w:val="00350697"/>
    <w:rsid w:val="00350D4B"/>
    <w:rsid w:val="00350EBE"/>
    <w:rsid w:val="003545ED"/>
    <w:rsid w:val="0035489F"/>
    <w:rsid w:val="003555CE"/>
    <w:rsid w:val="003555E4"/>
    <w:rsid w:val="0035703A"/>
    <w:rsid w:val="0036207A"/>
    <w:rsid w:val="003633CF"/>
    <w:rsid w:val="003636D0"/>
    <w:rsid w:val="003648AF"/>
    <w:rsid w:val="00365C79"/>
    <w:rsid w:val="0036616B"/>
    <w:rsid w:val="003662AB"/>
    <w:rsid w:val="003675CE"/>
    <w:rsid w:val="00367938"/>
    <w:rsid w:val="0037079F"/>
    <w:rsid w:val="003729D9"/>
    <w:rsid w:val="0037308F"/>
    <w:rsid w:val="00375395"/>
    <w:rsid w:val="003765C1"/>
    <w:rsid w:val="0037679A"/>
    <w:rsid w:val="00380111"/>
    <w:rsid w:val="00380C88"/>
    <w:rsid w:val="00382253"/>
    <w:rsid w:val="00383F69"/>
    <w:rsid w:val="003861A2"/>
    <w:rsid w:val="0038669D"/>
    <w:rsid w:val="00387B6F"/>
    <w:rsid w:val="00387E37"/>
    <w:rsid w:val="00390110"/>
    <w:rsid w:val="003907F7"/>
    <w:rsid w:val="00390A8F"/>
    <w:rsid w:val="00390AE8"/>
    <w:rsid w:val="00390DE4"/>
    <w:rsid w:val="003911EE"/>
    <w:rsid w:val="0039169E"/>
    <w:rsid w:val="00391C2A"/>
    <w:rsid w:val="00392E34"/>
    <w:rsid w:val="0039448F"/>
    <w:rsid w:val="00394BC7"/>
    <w:rsid w:val="003A0014"/>
    <w:rsid w:val="003A0BC3"/>
    <w:rsid w:val="003A239B"/>
    <w:rsid w:val="003A260E"/>
    <w:rsid w:val="003A2B60"/>
    <w:rsid w:val="003A3204"/>
    <w:rsid w:val="003A3692"/>
    <w:rsid w:val="003A3E04"/>
    <w:rsid w:val="003A50DB"/>
    <w:rsid w:val="003B012B"/>
    <w:rsid w:val="003B18D1"/>
    <w:rsid w:val="003B2D1E"/>
    <w:rsid w:val="003B3054"/>
    <w:rsid w:val="003B4810"/>
    <w:rsid w:val="003B495F"/>
    <w:rsid w:val="003B529E"/>
    <w:rsid w:val="003C09E0"/>
    <w:rsid w:val="003C0C0A"/>
    <w:rsid w:val="003C245E"/>
    <w:rsid w:val="003C66B3"/>
    <w:rsid w:val="003C6E2F"/>
    <w:rsid w:val="003C70FE"/>
    <w:rsid w:val="003C712A"/>
    <w:rsid w:val="003D0366"/>
    <w:rsid w:val="003D0965"/>
    <w:rsid w:val="003D0B4D"/>
    <w:rsid w:val="003D0E89"/>
    <w:rsid w:val="003D10E1"/>
    <w:rsid w:val="003D16BD"/>
    <w:rsid w:val="003D172F"/>
    <w:rsid w:val="003D2C82"/>
    <w:rsid w:val="003D3585"/>
    <w:rsid w:val="003D4F53"/>
    <w:rsid w:val="003D5000"/>
    <w:rsid w:val="003D6479"/>
    <w:rsid w:val="003D6954"/>
    <w:rsid w:val="003D74BA"/>
    <w:rsid w:val="003D7C54"/>
    <w:rsid w:val="003E01C0"/>
    <w:rsid w:val="003E170C"/>
    <w:rsid w:val="003E4407"/>
    <w:rsid w:val="003E4A3B"/>
    <w:rsid w:val="003E4DA3"/>
    <w:rsid w:val="003E58CE"/>
    <w:rsid w:val="003E6E95"/>
    <w:rsid w:val="003E72D6"/>
    <w:rsid w:val="003E7350"/>
    <w:rsid w:val="003E7FB6"/>
    <w:rsid w:val="003F1C9E"/>
    <w:rsid w:val="003F373B"/>
    <w:rsid w:val="003F4045"/>
    <w:rsid w:val="003F55AB"/>
    <w:rsid w:val="003F7AC2"/>
    <w:rsid w:val="004038AE"/>
    <w:rsid w:val="00406E7E"/>
    <w:rsid w:val="004104D9"/>
    <w:rsid w:val="00410A3C"/>
    <w:rsid w:val="00412B54"/>
    <w:rsid w:val="00414052"/>
    <w:rsid w:val="00415136"/>
    <w:rsid w:val="00415268"/>
    <w:rsid w:val="004153EC"/>
    <w:rsid w:val="00415A76"/>
    <w:rsid w:val="00415FDE"/>
    <w:rsid w:val="00415FFF"/>
    <w:rsid w:val="00423C51"/>
    <w:rsid w:val="004250D3"/>
    <w:rsid w:val="004252E8"/>
    <w:rsid w:val="00426632"/>
    <w:rsid w:val="00426FF1"/>
    <w:rsid w:val="00427922"/>
    <w:rsid w:val="00430C89"/>
    <w:rsid w:val="0043130F"/>
    <w:rsid w:val="00431562"/>
    <w:rsid w:val="00431817"/>
    <w:rsid w:val="00431908"/>
    <w:rsid w:val="00432721"/>
    <w:rsid w:val="00432A25"/>
    <w:rsid w:val="004347A1"/>
    <w:rsid w:val="0043549B"/>
    <w:rsid w:val="00436525"/>
    <w:rsid w:val="00436631"/>
    <w:rsid w:val="00436908"/>
    <w:rsid w:val="00436975"/>
    <w:rsid w:val="00437EF5"/>
    <w:rsid w:val="00440FF6"/>
    <w:rsid w:val="00441080"/>
    <w:rsid w:val="004416C8"/>
    <w:rsid w:val="00441E84"/>
    <w:rsid w:val="00442D45"/>
    <w:rsid w:val="004433E6"/>
    <w:rsid w:val="00445E4F"/>
    <w:rsid w:val="00445F6A"/>
    <w:rsid w:val="00447ED3"/>
    <w:rsid w:val="004517B1"/>
    <w:rsid w:val="0045209B"/>
    <w:rsid w:val="004542C5"/>
    <w:rsid w:val="00455A91"/>
    <w:rsid w:val="00456041"/>
    <w:rsid w:val="00457D74"/>
    <w:rsid w:val="0046340C"/>
    <w:rsid w:val="004635E3"/>
    <w:rsid w:val="00463D90"/>
    <w:rsid w:val="00465953"/>
    <w:rsid w:val="00467585"/>
    <w:rsid w:val="00467793"/>
    <w:rsid w:val="00467B32"/>
    <w:rsid w:val="00472E1C"/>
    <w:rsid w:val="0047343B"/>
    <w:rsid w:val="00473949"/>
    <w:rsid w:val="00474E1F"/>
    <w:rsid w:val="00475A98"/>
    <w:rsid w:val="00476125"/>
    <w:rsid w:val="004771C5"/>
    <w:rsid w:val="00477CB8"/>
    <w:rsid w:val="004809E0"/>
    <w:rsid w:val="00481560"/>
    <w:rsid w:val="00481ADA"/>
    <w:rsid w:val="00481F16"/>
    <w:rsid w:val="004836D0"/>
    <w:rsid w:val="0048389E"/>
    <w:rsid w:val="00483F66"/>
    <w:rsid w:val="004857D1"/>
    <w:rsid w:val="00490D92"/>
    <w:rsid w:val="00492089"/>
    <w:rsid w:val="00492466"/>
    <w:rsid w:val="004930A2"/>
    <w:rsid w:val="00493EF7"/>
    <w:rsid w:val="00494030"/>
    <w:rsid w:val="00494CDE"/>
    <w:rsid w:val="00496106"/>
    <w:rsid w:val="004963F1"/>
    <w:rsid w:val="00496B22"/>
    <w:rsid w:val="0049784F"/>
    <w:rsid w:val="00497A89"/>
    <w:rsid w:val="004A095A"/>
    <w:rsid w:val="004A0F01"/>
    <w:rsid w:val="004A3529"/>
    <w:rsid w:val="004A39B6"/>
    <w:rsid w:val="004A3F92"/>
    <w:rsid w:val="004A675F"/>
    <w:rsid w:val="004A7B1B"/>
    <w:rsid w:val="004B26FE"/>
    <w:rsid w:val="004B3595"/>
    <w:rsid w:val="004B42F2"/>
    <w:rsid w:val="004B5786"/>
    <w:rsid w:val="004B66D1"/>
    <w:rsid w:val="004B6993"/>
    <w:rsid w:val="004B6E29"/>
    <w:rsid w:val="004B7B56"/>
    <w:rsid w:val="004C02B2"/>
    <w:rsid w:val="004C2BA4"/>
    <w:rsid w:val="004C32BC"/>
    <w:rsid w:val="004C378A"/>
    <w:rsid w:val="004C3B9C"/>
    <w:rsid w:val="004C3CEA"/>
    <w:rsid w:val="004C471E"/>
    <w:rsid w:val="004C54AA"/>
    <w:rsid w:val="004C57FB"/>
    <w:rsid w:val="004D0C82"/>
    <w:rsid w:val="004D201F"/>
    <w:rsid w:val="004D22E4"/>
    <w:rsid w:val="004D30B1"/>
    <w:rsid w:val="004D38BE"/>
    <w:rsid w:val="004D3B71"/>
    <w:rsid w:val="004D50A7"/>
    <w:rsid w:val="004D5167"/>
    <w:rsid w:val="004D787A"/>
    <w:rsid w:val="004E0A35"/>
    <w:rsid w:val="004E11FA"/>
    <w:rsid w:val="004E7FAE"/>
    <w:rsid w:val="004F0DBB"/>
    <w:rsid w:val="004F1D1D"/>
    <w:rsid w:val="004F2A26"/>
    <w:rsid w:val="004F2CE6"/>
    <w:rsid w:val="004F490B"/>
    <w:rsid w:val="004F4991"/>
    <w:rsid w:val="004F5A1B"/>
    <w:rsid w:val="00500215"/>
    <w:rsid w:val="00502668"/>
    <w:rsid w:val="00502DA7"/>
    <w:rsid w:val="00503180"/>
    <w:rsid w:val="00504A30"/>
    <w:rsid w:val="00505AA3"/>
    <w:rsid w:val="00507160"/>
    <w:rsid w:val="00507E20"/>
    <w:rsid w:val="00510B37"/>
    <w:rsid w:val="00510F1E"/>
    <w:rsid w:val="00511F7F"/>
    <w:rsid w:val="00512C27"/>
    <w:rsid w:val="00512EAD"/>
    <w:rsid w:val="005134CA"/>
    <w:rsid w:val="00513B6C"/>
    <w:rsid w:val="00514820"/>
    <w:rsid w:val="00514C5F"/>
    <w:rsid w:val="00517632"/>
    <w:rsid w:val="005234C9"/>
    <w:rsid w:val="0052357A"/>
    <w:rsid w:val="00523A83"/>
    <w:rsid w:val="005256C4"/>
    <w:rsid w:val="005258E2"/>
    <w:rsid w:val="0053102F"/>
    <w:rsid w:val="0053167F"/>
    <w:rsid w:val="00532172"/>
    <w:rsid w:val="0053286E"/>
    <w:rsid w:val="005349FA"/>
    <w:rsid w:val="00534D81"/>
    <w:rsid w:val="005357A8"/>
    <w:rsid w:val="00535A09"/>
    <w:rsid w:val="00536822"/>
    <w:rsid w:val="0053691E"/>
    <w:rsid w:val="005371F4"/>
    <w:rsid w:val="00540221"/>
    <w:rsid w:val="005407D8"/>
    <w:rsid w:val="00541563"/>
    <w:rsid w:val="00541937"/>
    <w:rsid w:val="00542A73"/>
    <w:rsid w:val="00545A32"/>
    <w:rsid w:val="00545B92"/>
    <w:rsid w:val="005468CF"/>
    <w:rsid w:val="00546950"/>
    <w:rsid w:val="00547043"/>
    <w:rsid w:val="0054721C"/>
    <w:rsid w:val="005473E2"/>
    <w:rsid w:val="0054787D"/>
    <w:rsid w:val="00552C72"/>
    <w:rsid w:val="00552FD2"/>
    <w:rsid w:val="00553000"/>
    <w:rsid w:val="00553FC0"/>
    <w:rsid w:val="00554D8B"/>
    <w:rsid w:val="005551C0"/>
    <w:rsid w:val="00556EF6"/>
    <w:rsid w:val="005578B4"/>
    <w:rsid w:val="00557D8E"/>
    <w:rsid w:val="00557FBF"/>
    <w:rsid w:val="005608D4"/>
    <w:rsid w:val="0056102D"/>
    <w:rsid w:val="0056114B"/>
    <w:rsid w:val="00562A4D"/>
    <w:rsid w:val="005634C2"/>
    <w:rsid w:val="005635F7"/>
    <w:rsid w:val="00564E39"/>
    <w:rsid w:val="00566A9F"/>
    <w:rsid w:val="00570B83"/>
    <w:rsid w:val="00572069"/>
    <w:rsid w:val="00572566"/>
    <w:rsid w:val="00572634"/>
    <w:rsid w:val="005742E2"/>
    <w:rsid w:val="0057459E"/>
    <w:rsid w:val="00575101"/>
    <w:rsid w:val="00575177"/>
    <w:rsid w:val="00576E3D"/>
    <w:rsid w:val="005770F9"/>
    <w:rsid w:val="005803AB"/>
    <w:rsid w:val="005804E5"/>
    <w:rsid w:val="005815EC"/>
    <w:rsid w:val="00581D4F"/>
    <w:rsid w:val="0058213A"/>
    <w:rsid w:val="00582641"/>
    <w:rsid w:val="005840A1"/>
    <w:rsid w:val="00585336"/>
    <w:rsid w:val="00585952"/>
    <w:rsid w:val="005860DD"/>
    <w:rsid w:val="00586628"/>
    <w:rsid w:val="0058674F"/>
    <w:rsid w:val="00587B9D"/>
    <w:rsid w:val="00590520"/>
    <w:rsid w:val="005908BB"/>
    <w:rsid w:val="00590A19"/>
    <w:rsid w:val="005917D9"/>
    <w:rsid w:val="00592B78"/>
    <w:rsid w:val="00592DC2"/>
    <w:rsid w:val="0059388F"/>
    <w:rsid w:val="00594DD6"/>
    <w:rsid w:val="00594FCD"/>
    <w:rsid w:val="00595095"/>
    <w:rsid w:val="005A035C"/>
    <w:rsid w:val="005A0EBA"/>
    <w:rsid w:val="005A1709"/>
    <w:rsid w:val="005A1DE2"/>
    <w:rsid w:val="005A2795"/>
    <w:rsid w:val="005A2DDF"/>
    <w:rsid w:val="005A2E86"/>
    <w:rsid w:val="005A3188"/>
    <w:rsid w:val="005A3412"/>
    <w:rsid w:val="005A3B39"/>
    <w:rsid w:val="005A4AE9"/>
    <w:rsid w:val="005A5DC8"/>
    <w:rsid w:val="005A73D4"/>
    <w:rsid w:val="005A73F8"/>
    <w:rsid w:val="005B1A9C"/>
    <w:rsid w:val="005B2D36"/>
    <w:rsid w:val="005B33FC"/>
    <w:rsid w:val="005B37E0"/>
    <w:rsid w:val="005B4115"/>
    <w:rsid w:val="005B4A48"/>
    <w:rsid w:val="005B4D99"/>
    <w:rsid w:val="005B6697"/>
    <w:rsid w:val="005B783F"/>
    <w:rsid w:val="005B7CDA"/>
    <w:rsid w:val="005C0746"/>
    <w:rsid w:val="005C160B"/>
    <w:rsid w:val="005C1B97"/>
    <w:rsid w:val="005C2A9B"/>
    <w:rsid w:val="005C35CE"/>
    <w:rsid w:val="005C3A79"/>
    <w:rsid w:val="005C498A"/>
    <w:rsid w:val="005C5312"/>
    <w:rsid w:val="005C5A10"/>
    <w:rsid w:val="005C5C9E"/>
    <w:rsid w:val="005C5FB8"/>
    <w:rsid w:val="005C610E"/>
    <w:rsid w:val="005C6CD7"/>
    <w:rsid w:val="005D0A7F"/>
    <w:rsid w:val="005D1CEE"/>
    <w:rsid w:val="005D1ED1"/>
    <w:rsid w:val="005D1FF4"/>
    <w:rsid w:val="005D3D58"/>
    <w:rsid w:val="005D5061"/>
    <w:rsid w:val="005D6D0D"/>
    <w:rsid w:val="005D7D74"/>
    <w:rsid w:val="005E11E8"/>
    <w:rsid w:val="005E1BC2"/>
    <w:rsid w:val="005E3B53"/>
    <w:rsid w:val="005E4700"/>
    <w:rsid w:val="005E4A18"/>
    <w:rsid w:val="005E4C6F"/>
    <w:rsid w:val="005E500D"/>
    <w:rsid w:val="005E51A3"/>
    <w:rsid w:val="005E5E93"/>
    <w:rsid w:val="005E6847"/>
    <w:rsid w:val="005E75C0"/>
    <w:rsid w:val="005E7946"/>
    <w:rsid w:val="005E7D4B"/>
    <w:rsid w:val="005E7D70"/>
    <w:rsid w:val="005F117E"/>
    <w:rsid w:val="005F1317"/>
    <w:rsid w:val="005F1F64"/>
    <w:rsid w:val="005F1FAB"/>
    <w:rsid w:val="005F22F4"/>
    <w:rsid w:val="005F3725"/>
    <w:rsid w:val="005F40A9"/>
    <w:rsid w:val="005F40DA"/>
    <w:rsid w:val="005F435C"/>
    <w:rsid w:val="005F5BC0"/>
    <w:rsid w:val="005F61B2"/>
    <w:rsid w:val="005F6A13"/>
    <w:rsid w:val="005F6D7D"/>
    <w:rsid w:val="00600DDF"/>
    <w:rsid w:val="006022F0"/>
    <w:rsid w:val="00602DB1"/>
    <w:rsid w:val="006045A5"/>
    <w:rsid w:val="00604BB9"/>
    <w:rsid w:val="00604D46"/>
    <w:rsid w:val="00604E0B"/>
    <w:rsid w:val="006053BC"/>
    <w:rsid w:val="00606038"/>
    <w:rsid w:val="00606345"/>
    <w:rsid w:val="006066DE"/>
    <w:rsid w:val="0060678E"/>
    <w:rsid w:val="00611963"/>
    <w:rsid w:val="00612090"/>
    <w:rsid w:val="006123C6"/>
    <w:rsid w:val="00612CE5"/>
    <w:rsid w:val="006134BE"/>
    <w:rsid w:val="00613D66"/>
    <w:rsid w:val="006143D9"/>
    <w:rsid w:val="006157B9"/>
    <w:rsid w:val="00615D8C"/>
    <w:rsid w:val="00616D4E"/>
    <w:rsid w:val="00617395"/>
    <w:rsid w:val="006204E1"/>
    <w:rsid w:val="00620CAF"/>
    <w:rsid w:val="00620E59"/>
    <w:rsid w:val="0062178A"/>
    <w:rsid w:val="006218DB"/>
    <w:rsid w:val="00621B34"/>
    <w:rsid w:val="006220E0"/>
    <w:rsid w:val="006229D2"/>
    <w:rsid w:val="00624DA9"/>
    <w:rsid w:val="00624F73"/>
    <w:rsid w:val="00626BD6"/>
    <w:rsid w:val="006270C1"/>
    <w:rsid w:val="006274D2"/>
    <w:rsid w:val="006279DB"/>
    <w:rsid w:val="00627B50"/>
    <w:rsid w:val="00627B9D"/>
    <w:rsid w:val="0063067E"/>
    <w:rsid w:val="0063152E"/>
    <w:rsid w:val="00631C1E"/>
    <w:rsid w:val="00632C8A"/>
    <w:rsid w:val="00634325"/>
    <w:rsid w:val="00634CF0"/>
    <w:rsid w:val="00635566"/>
    <w:rsid w:val="006357A2"/>
    <w:rsid w:val="006364C9"/>
    <w:rsid w:val="006371F6"/>
    <w:rsid w:val="00640DC1"/>
    <w:rsid w:val="006418DC"/>
    <w:rsid w:val="00641DC9"/>
    <w:rsid w:val="00644562"/>
    <w:rsid w:val="0064459C"/>
    <w:rsid w:val="006453CA"/>
    <w:rsid w:val="00646274"/>
    <w:rsid w:val="006472A5"/>
    <w:rsid w:val="00647373"/>
    <w:rsid w:val="00650608"/>
    <w:rsid w:val="0065361D"/>
    <w:rsid w:val="00653B83"/>
    <w:rsid w:val="00657076"/>
    <w:rsid w:val="00657147"/>
    <w:rsid w:val="00660430"/>
    <w:rsid w:val="00661770"/>
    <w:rsid w:val="006622C8"/>
    <w:rsid w:val="00663793"/>
    <w:rsid w:val="0066523F"/>
    <w:rsid w:val="0066599F"/>
    <w:rsid w:val="00665CBD"/>
    <w:rsid w:val="00666BED"/>
    <w:rsid w:val="00670ED8"/>
    <w:rsid w:val="006730B6"/>
    <w:rsid w:val="00673520"/>
    <w:rsid w:val="0067398D"/>
    <w:rsid w:val="00674401"/>
    <w:rsid w:val="00674492"/>
    <w:rsid w:val="00675850"/>
    <w:rsid w:val="00676432"/>
    <w:rsid w:val="006768CB"/>
    <w:rsid w:val="00682DE2"/>
    <w:rsid w:val="00682EF8"/>
    <w:rsid w:val="00683970"/>
    <w:rsid w:val="00683A18"/>
    <w:rsid w:val="0068447A"/>
    <w:rsid w:val="00685034"/>
    <w:rsid w:val="00687835"/>
    <w:rsid w:val="0069027A"/>
    <w:rsid w:val="006910BF"/>
    <w:rsid w:val="00692F6A"/>
    <w:rsid w:val="00693E94"/>
    <w:rsid w:val="00696EBB"/>
    <w:rsid w:val="00697488"/>
    <w:rsid w:val="00697820"/>
    <w:rsid w:val="006978F3"/>
    <w:rsid w:val="006A1C42"/>
    <w:rsid w:val="006A24AF"/>
    <w:rsid w:val="006A40A3"/>
    <w:rsid w:val="006A4611"/>
    <w:rsid w:val="006A52C3"/>
    <w:rsid w:val="006A609B"/>
    <w:rsid w:val="006A737C"/>
    <w:rsid w:val="006A7F32"/>
    <w:rsid w:val="006B0659"/>
    <w:rsid w:val="006B20AE"/>
    <w:rsid w:val="006B24C4"/>
    <w:rsid w:val="006B280B"/>
    <w:rsid w:val="006B3C8D"/>
    <w:rsid w:val="006B4668"/>
    <w:rsid w:val="006B5E0B"/>
    <w:rsid w:val="006B6D8E"/>
    <w:rsid w:val="006C061F"/>
    <w:rsid w:val="006C29A2"/>
    <w:rsid w:val="006C2C77"/>
    <w:rsid w:val="006C3C9F"/>
    <w:rsid w:val="006C406F"/>
    <w:rsid w:val="006C447F"/>
    <w:rsid w:val="006C5004"/>
    <w:rsid w:val="006D2464"/>
    <w:rsid w:val="006D3393"/>
    <w:rsid w:val="006D4AA4"/>
    <w:rsid w:val="006D65D3"/>
    <w:rsid w:val="006D6A8E"/>
    <w:rsid w:val="006D700F"/>
    <w:rsid w:val="006E1F48"/>
    <w:rsid w:val="006E282A"/>
    <w:rsid w:val="006E2C9B"/>
    <w:rsid w:val="006E4FEA"/>
    <w:rsid w:val="006E5B9E"/>
    <w:rsid w:val="006E5DF6"/>
    <w:rsid w:val="006E614B"/>
    <w:rsid w:val="006E6408"/>
    <w:rsid w:val="006E7258"/>
    <w:rsid w:val="006E7EA7"/>
    <w:rsid w:val="006F06A7"/>
    <w:rsid w:val="006F49C5"/>
    <w:rsid w:val="006F4A20"/>
    <w:rsid w:val="006F6192"/>
    <w:rsid w:val="006F6245"/>
    <w:rsid w:val="006F75E5"/>
    <w:rsid w:val="006F7737"/>
    <w:rsid w:val="00700104"/>
    <w:rsid w:val="007014B4"/>
    <w:rsid w:val="00703440"/>
    <w:rsid w:val="00703B09"/>
    <w:rsid w:val="007042CF"/>
    <w:rsid w:val="00704866"/>
    <w:rsid w:val="0070626B"/>
    <w:rsid w:val="007102D5"/>
    <w:rsid w:val="007106BE"/>
    <w:rsid w:val="00712D4E"/>
    <w:rsid w:val="00713BFA"/>
    <w:rsid w:val="007144CC"/>
    <w:rsid w:val="00714B99"/>
    <w:rsid w:val="00715326"/>
    <w:rsid w:val="00715E1A"/>
    <w:rsid w:val="00715EF7"/>
    <w:rsid w:val="0071617F"/>
    <w:rsid w:val="00717D60"/>
    <w:rsid w:val="00720FDC"/>
    <w:rsid w:val="007228F8"/>
    <w:rsid w:val="00722D73"/>
    <w:rsid w:val="00723AE9"/>
    <w:rsid w:val="0072468D"/>
    <w:rsid w:val="00724920"/>
    <w:rsid w:val="00727780"/>
    <w:rsid w:val="00730421"/>
    <w:rsid w:val="00730434"/>
    <w:rsid w:val="00730A57"/>
    <w:rsid w:val="00731173"/>
    <w:rsid w:val="00732BB6"/>
    <w:rsid w:val="00735014"/>
    <w:rsid w:val="00735AE9"/>
    <w:rsid w:val="00736814"/>
    <w:rsid w:val="00737B91"/>
    <w:rsid w:val="007400E0"/>
    <w:rsid w:val="0074025F"/>
    <w:rsid w:val="0074178D"/>
    <w:rsid w:val="00741A5F"/>
    <w:rsid w:val="00741CA8"/>
    <w:rsid w:val="00742D23"/>
    <w:rsid w:val="00744178"/>
    <w:rsid w:val="007442CD"/>
    <w:rsid w:val="00744765"/>
    <w:rsid w:val="0074542B"/>
    <w:rsid w:val="00745E9F"/>
    <w:rsid w:val="00746256"/>
    <w:rsid w:val="00746AFD"/>
    <w:rsid w:val="00746FF6"/>
    <w:rsid w:val="00747CC6"/>
    <w:rsid w:val="007501A3"/>
    <w:rsid w:val="00750962"/>
    <w:rsid w:val="00750E9E"/>
    <w:rsid w:val="00751106"/>
    <w:rsid w:val="0075126F"/>
    <w:rsid w:val="007513C6"/>
    <w:rsid w:val="0075388F"/>
    <w:rsid w:val="007550D8"/>
    <w:rsid w:val="00755358"/>
    <w:rsid w:val="00756F15"/>
    <w:rsid w:val="00756FE9"/>
    <w:rsid w:val="007605E6"/>
    <w:rsid w:val="0076124D"/>
    <w:rsid w:val="007613D2"/>
    <w:rsid w:val="00762198"/>
    <w:rsid w:val="007632AF"/>
    <w:rsid w:val="00764950"/>
    <w:rsid w:val="00764993"/>
    <w:rsid w:val="007649E3"/>
    <w:rsid w:val="007652E8"/>
    <w:rsid w:val="00765A00"/>
    <w:rsid w:val="00767F4D"/>
    <w:rsid w:val="00771582"/>
    <w:rsid w:val="00772687"/>
    <w:rsid w:val="007737CA"/>
    <w:rsid w:val="007746FA"/>
    <w:rsid w:val="00775DC9"/>
    <w:rsid w:val="0077615C"/>
    <w:rsid w:val="00776481"/>
    <w:rsid w:val="007775F5"/>
    <w:rsid w:val="00777B29"/>
    <w:rsid w:val="007824AB"/>
    <w:rsid w:val="00784AC9"/>
    <w:rsid w:val="00784F57"/>
    <w:rsid w:val="00786BEA"/>
    <w:rsid w:val="007910CB"/>
    <w:rsid w:val="00792AA9"/>
    <w:rsid w:val="00792C7D"/>
    <w:rsid w:val="00793F75"/>
    <w:rsid w:val="00794298"/>
    <w:rsid w:val="00794EF6"/>
    <w:rsid w:val="00797CF7"/>
    <w:rsid w:val="007A2736"/>
    <w:rsid w:val="007A4AAA"/>
    <w:rsid w:val="007A63A6"/>
    <w:rsid w:val="007A6765"/>
    <w:rsid w:val="007A686E"/>
    <w:rsid w:val="007A6E8A"/>
    <w:rsid w:val="007B10F4"/>
    <w:rsid w:val="007B3222"/>
    <w:rsid w:val="007B3455"/>
    <w:rsid w:val="007B3D1D"/>
    <w:rsid w:val="007B590F"/>
    <w:rsid w:val="007B5FAE"/>
    <w:rsid w:val="007B64A4"/>
    <w:rsid w:val="007C0E29"/>
    <w:rsid w:val="007C123A"/>
    <w:rsid w:val="007C1433"/>
    <w:rsid w:val="007C1ACF"/>
    <w:rsid w:val="007C222B"/>
    <w:rsid w:val="007C22F1"/>
    <w:rsid w:val="007C240E"/>
    <w:rsid w:val="007C27B5"/>
    <w:rsid w:val="007C3F89"/>
    <w:rsid w:val="007C40F1"/>
    <w:rsid w:val="007C4642"/>
    <w:rsid w:val="007C538C"/>
    <w:rsid w:val="007C670D"/>
    <w:rsid w:val="007C701F"/>
    <w:rsid w:val="007D0D50"/>
    <w:rsid w:val="007D3F72"/>
    <w:rsid w:val="007D4B49"/>
    <w:rsid w:val="007D4C7B"/>
    <w:rsid w:val="007D590C"/>
    <w:rsid w:val="007D6E4F"/>
    <w:rsid w:val="007E1771"/>
    <w:rsid w:val="007E1C6A"/>
    <w:rsid w:val="007E2F1B"/>
    <w:rsid w:val="007E38EA"/>
    <w:rsid w:val="007E4946"/>
    <w:rsid w:val="007E59F8"/>
    <w:rsid w:val="007E6984"/>
    <w:rsid w:val="007E6BA1"/>
    <w:rsid w:val="007E7351"/>
    <w:rsid w:val="007F23D0"/>
    <w:rsid w:val="007F25D0"/>
    <w:rsid w:val="007F3F2A"/>
    <w:rsid w:val="007F46B8"/>
    <w:rsid w:val="007F48AF"/>
    <w:rsid w:val="007F4F0D"/>
    <w:rsid w:val="007F55C1"/>
    <w:rsid w:val="007F7177"/>
    <w:rsid w:val="007F7350"/>
    <w:rsid w:val="007F7AD6"/>
    <w:rsid w:val="00800A15"/>
    <w:rsid w:val="008013AE"/>
    <w:rsid w:val="00804611"/>
    <w:rsid w:val="00805E9C"/>
    <w:rsid w:val="0080641E"/>
    <w:rsid w:val="008067AB"/>
    <w:rsid w:val="008074FC"/>
    <w:rsid w:val="008078DC"/>
    <w:rsid w:val="008105A8"/>
    <w:rsid w:val="008108D3"/>
    <w:rsid w:val="00810A0F"/>
    <w:rsid w:val="00810EAA"/>
    <w:rsid w:val="0081150F"/>
    <w:rsid w:val="00811D05"/>
    <w:rsid w:val="00812852"/>
    <w:rsid w:val="00812B6E"/>
    <w:rsid w:val="00812ED9"/>
    <w:rsid w:val="0081349A"/>
    <w:rsid w:val="00813ADF"/>
    <w:rsid w:val="00813C12"/>
    <w:rsid w:val="008146C4"/>
    <w:rsid w:val="00815021"/>
    <w:rsid w:val="00820BFB"/>
    <w:rsid w:val="00821971"/>
    <w:rsid w:val="008223C0"/>
    <w:rsid w:val="00822C59"/>
    <w:rsid w:val="00823BD7"/>
    <w:rsid w:val="00825667"/>
    <w:rsid w:val="0082610D"/>
    <w:rsid w:val="00826819"/>
    <w:rsid w:val="00827419"/>
    <w:rsid w:val="00827E3B"/>
    <w:rsid w:val="00831260"/>
    <w:rsid w:val="00832A7E"/>
    <w:rsid w:val="00833A4C"/>
    <w:rsid w:val="00834E94"/>
    <w:rsid w:val="0083592C"/>
    <w:rsid w:val="008365E6"/>
    <w:rsid w:val="00837A04"/>
    <w:rsid w:val="00841C97"/>
    <w:rsid w:val="00842CE5"/>
    <w:rsid w:val="008435AD"/>
    <w:rsid w:val="00843F71"/>
    <w:rsid w:val="00846170"/>
    <w:rsid w:val="00846920"/>
    <w:rsid w:val="00847059"/>
    <w:rsid w:val="00850117"/>
    <w:rsid w:val="008521DF"/>
    <w:rsid w:val="0085355F"/>
    <w:rsid w:val="00854572"/>
    <w:rsid w:val="008547BF"/>
    <w:rsid w:val="008564B2"/>
    <w:rsid w:val="00856932"/>
    <w:rsid w:val="00856B6D"/>
    <w:rsid w:val="008570E1"/>
    <w:rsid w:val="008600BB"/>
    <w:rsid w:val="00860D1B"/>
    <w:rsid w:val="008611AE"/>
    <w:rsid w:val="00861E0A"/>
    <w:rsid w:val="00861EA1"/>
    <w:rsid w:val="00864DEB"/>
    <w:rsid w:val="00864E46"/>
    <w:rsid w:val="00864FC5"/>
    <w:rsid w:val="00865483"/>
    <w:rsid w:val="00865568"/>
    <w:rsid w:val="008669C4"/>
    <w:rsid w:val="00867291"/>
    <w:rsid w:val="008704B8"/>
    <w:rsid w:val="008704F8"/>
    <w:rsid w:val="00872498"/>
    <w:rsid w:val="008727E0"/>
    <w:rsid w:val="00872F5F"/>
    <w:rsid w:val="00876D5E"/>
    <w:rsid w:val="008774EA"/>
    <w:rsid w:val="00877DA5"/>
    <w:rsid w:val="008800DF"/>
    <w:rsid w:val="008804D3"/>
    <w:rsid w:val="00882206"/>
    <w:rsid w:val="008822DC"/>
    <w:rsid w:val="008827CD"/>
    <w:rsid w:val="0088446E"/>
    <w:rsid w:val="00885898"/>
    <w:rsid w:val="00891161"/>
    <w:rsid w:val="0089127B"/>
    <w:rsid w:val="00891C5D"/>
    <w:rsid w:val="008921D1"/>
    <w:rsid w:val="00892EEE"/>
    <w:rsid w:val="00893726"/>
    <w:rsid w:val="00893A0C"/>
    <w:rsid w:val="00893D36"/>
    <w:rsid w:val="00893F95"/>
    <w:rsid w:val="008947BD"/>
    <w:rsid w:val="008A0967"/>
    <w:rsid w:val="008A19F7"/>
    <w:rsid w:val="008A35C4"/>
    <w:rsid w:val="008A398D"/>
    <w:rsid w:val="008A459E"/>
    <w:rsid w:val="008A5392"/>
    <w:rsid w:val="008A63F3"/>
    <w:rsid w:val="008A75A0"/>
    <w:rsid w:val="008A7953"/>
    <w:rsid w:val="008B0933"/>
    <w:rsid w:val="008B11F8"/>
    <w:rsid w:val="008B1532"/>
    <w:rsid w:val="008B2C61"/>
    <w:rsid w:val="008B34B6"/>
    <w:rsid w:val="008B37C5"/>
    <w:rsid w:val="008B4C37"/>
    <w:rsid w:val="008B4C4B"/>
    <w:rsid w:val="008B4C4C"/>
    <w:rsid w:val="008B4CB0"/>
    <w:rsid w:val="008B4D69"/>
    <w:rsid w:val="008B5FB5"/>
    <w:rsid w:val="008C038C"/>
    <w:rsid w:val="008C1A0C"/>
    <w:rsid w:val="008C427A"/>
    <w:rsid w:val="008C761A"/>
    <w:rsid w:val="008D1567"/>
    <w:rsid w:val="008D1C6A"/>
    <w:rsid w:val="008D2340"/>
    <w:rsid w:val="008D28EE"/>
    <w:rsid w:val="008D2A98"/>
    <w:rsid w:val="008D3818"/>
    <w:rsid w:val="008D46CB"/>
    <w:rsid w:val="008D57B7"/>
    <w:rsid w:val="008D6AFD"/>
    <w:rsid w:val="008D71B7"/>
    <w:rsid w:val="008E314C"/>
    <w:rsid w:val="008E3CF0"/>
    <w:rsid w:val="008E506D"/>
    <w:rsid w:val="008E5703"/>
    <w:rsid w:val="008E6265"/>
    <w:rsid w:val="008F2516"/>
    <w:rsid w:val="008F42BF"/>
    <w:rsid w:val="008F449D"/>
    <w:rsid w:val="008F4E48"/>
    <w:rsid w:val="008F5023"/>
    <w:rsid w:val="008F5797"/>
    <w:rsid w:val="008F6168"/>
    <w:rsid w:val="008F744F"/>
    <w:rsid w:val="008F769C"/>
    <w:rsid w:val="00902CD9"/>
    <w:rsid w:val="0090324E"/>
    <w:rsid w:val="009035C8"/>
    <w:rsid w:val="00903B95"/>
    <w:rsid w:val="0090510E"/>
    <w:rsid w:val="0090629F"/>
    <w:rsid w:val="00907666"/>
    <w:rsid w:val="009076AB"/>
    <w:rsid w:val="00911CA6"/>
    <w:rsid w:val="009134C5"/>
    <w:rsid w:val="0091520A"/>
    <w:rsid w:val="0091705F"/>
    <w:rsid w:val="00917D34"/>
    <w:rsid w:val="00917EC5"/>
    <w:rsid w:val="00920370"/>
    <w:rsid w:val="009205E4"/>
    <w:rsid w:val="00920A67"/>
    <w:rsid w:val="00921567"/>
    <w:rsid w:val="009215C0"/>
    <w:rsid w:val="00921BB7"/>
    <w:rsid w:val="009227DB"/>
    <w:rsid w:val="00922A3D"/>
    <w:rsid w:val="00922C7B"/>
    <w:rsid w:val="00924064"/>
    <w:rsid w:val="00924722"/>
    <w:rsid w:val="00926710"/>
    <w:rsid w:val="00926984"/>
    <w:rsid w:val="00926D40"/>
    <w:rsid w:val="009276FE"/>
    <w:rsid w:val="0092777E"/>
    <w:rsid w:val="00927B49"/>
    <w:rsid w:val="00927F59"/>
    <w:rsid w:val="00930592"/>
    <w:rsid w:val="00930D84"/>
    <w:rsid w:val="00931704"/>
    <w:rsid w:val="00932269"/>
    <w:rsid w:val="00932988"/>
    <w:rsid w:val="00933824"/>
    <w:rsid w:val="00937FF7"/>
    <w:rsid w:val="00940308"/>
    <w:rsid w:val="00940558"/>
    <w:rsid w:val="00942AA1"/>
    <w:rsid w:val="00943731"/>
    <w:rsid w:val="00944099"/>
    <w:rsid w:val="00950DEA"/>
    <w:rsid w:val="009511C5"/>
    <w:rsid w:val="009524AA"/>
    <w:rsid w:val="00952531"/>
    <w:rsid w:val="009536AC"/>
    <w:rsid w:val="00953900"/>
    <w:rsid w:val="00961802"/>
    <w:rsid w:val="009653B1"/>
    <w:rsid w:val="00965A0B"/>
    <w:rsid w:val="0096650C"/>
    <w:rsid w:val="00967AE4"/>
    <w:rsid w:val="00967FB8"/>
    <w:rsid w:val="00970C99"/>
    <w:rsid w:val="00971973"/>
    <w:rsid w:val="00973B00"/>
    <w:rsid w:val="00975412"/>
    <w:rsid w:val="0097541A"/>
    <w:rsid w:val="00977123"/>
    <w:rsid w:val="00977341"/>
    <w:rsid w:val="0097791F"/>
    <w:rsid w:val="0098060A"/>
    <w:rsid w:val="00980696"/>
    <w:rsid w:val="009817AE"/>
    <w:rsid w:val="00981CAA"/>
    <w:rsid w:val="009834DF"/>
    <w:rsid w:val="009838DA"/>
    <w:rsid w:val="009842AB"/>
    <w:rsid w:val="00984E78"/>
    <w:rsid w:val="00985E5E"/>
    <w:rsid w:val="009866EF"/>
    <w:rsid w:val="00987236"/>
    <w:rsid w:val="009902F4"/>
    <w:rsid w:val="00991452"/>
    <w:rsid w:val="00991E8A"/>
    <w:rsid w:val="00992039"/>
    <w:rsid w:val="00992536"/>
    <w:rsid w:val="00992927"/>
    <w:rsid w:val="00992ABA"/>
    <w:rsid w:val="0099313B"/>
    <w:rsid w:val="0099378F"/>
    <w:rsid w:val="00993AAF"/>
    <w:rsid w:val="00995396"/>
    <w:rsid w:val="009953F6"/>
    <w:rsid w:val="00996A53"/>
    <w:rsid w:val="009A2158"/>
    <w:rsid w:val="009A22CD"/>
    <w:rsid w:val="009A2C8A"/>
    <w:rsid w:val="009A3371"/>
    <w:rsid w:val="009A3B7C"/>
    <w:rsid w:val="009A479F"/>
    <w:rsid w:val="009A4D19"/>
    <w:rsid w:val="009A521F"/>
    <w:rsid w:val="009A7FAA"/>
    <w:rsid w:val="009B1EB5"/>
    <w:rsid w:val="009B2563"/>
    <w:rsid w:val="009B48E1"/>
    <w:rsid w:val="009B4B8A"/>
    <w:rsid w:val="009B513D"/>
    <w:rsid w:val="009B526B"/>
    <w:rsid w:val="009B5D2E"/>
    <w:rsid w:val="009B6777"/>
    <w:rsid w:val="009B7477"/>
    <w:rsid w:val="009B765D"/>
    <w:rsid w:val="009B7F69"/>
    <w:rsid w:val="009C0279"/>
    <w:rsid w:val="009C1049"/>
    <w:rsid w:val="009C1087"/>
    <w:rsid w:val="009C123C"/>
    <w:rsid w:val="009C17D8"/>
    <w:rsid w:val="009C2E8A"/>
    <w:rsid w:val="009C2F06"/>
    <w:rsid w:val="009C317B"/>
    <w:rsid w:val="009C3479"/>
    <w:rsid w:val="009D0829"/>
    <w:rsid w:val="009D1020"/>
    <w:rsid w:val="009D1E3A"/>
    <w:rsid w:val="009D3802"/>
    <w:rsid w:val="009D3F43"/>
    <w:rsid w:val="009D4784"/>
    <w:rsid w:val="009D5AC5"/>
    <w:rsid w:val="009D5BA5"/>
    <w:rsid w:val="009D5BBF"/>
    <w:rsid w:val="009D64BC"/>
    <w:rsid w:val="009D6AE4"/>
    <w:rsid w:val="009E0804"/>
    <w:rsid w:val="009E13C8"/>
    <w:rsid w:val="009E166B"/>
    <w:rsid w:val="009E1B43"/>
    <w:rsid w:val="009E22F3"/>
    <w:rsid w:val="009E2FCA"/>
    <w:rsid w:val="009E3E15"/>
    <w:rsid w:val="009E4230"/>
    <w:rsid w:val="009E459D"/>
    <w:rsid w:val="009E5F3B"/>
    <w:rsid w:val="009E6012"/>
    <w:rsid w:val="009F0DDF"/>
    <w:rsid w:val="009F24EF"/>
    <w:rsid w:val="009F2F05"/>
    <w:rsid w:val="009F3806"/>
    <w:rsid w:val="009F380F"/>
    <w:rsid w:val="009F4969"/>
    <w:rsid w:val="009F5445"/>
    <w:rsid w:val="009F5A83"/>
    <w:rsid w:val="009F6BDE"/>
    <w:rsid w:val="00A0012F"/>
    <w:rsid w:val="00A02131"/>
    <w:rsid w:val="00A022FB"/>
    <w:rsid w:val="00A0422D"/>
    <w:rsid w:val="00A06010"/>
    <w:rsid w:val="00A07012"/>
    <w:rsid w:val="00A07FB8"/>
    <w:rsid w:val="00A1036E"/>
    <w:rsid w:val="00A10F07"/>
    <w:rsid w:val="00A118A0"/>
    <w:rsid w:val="00A11F7D"/>
    <w:rsid w:val="00A12422"/>
    <w:rsid w:val="00A1265E"/>
    <w:rsid w:val="00A127AE"/>
    <w:rsid w:val="00A13F0E"/>
    <w:rsid w:val="00A15B67"/>
    <w:rsid w:val="00A161C0"/>
    <w:rsid w:val="00A20608"/>
    <w:rsid w:val="00A2151C"/>
    <w:rsid w:val="00A21C13"/>
    <w:rsid w:val="00A21F94"/>
    <w:rsid w:val="00A23014"/>
    <w:rsid w:val="00A237F1"/>
    <w:rsid w:val="00A23D29"/>
    <w:rsid w:val="00A24148"/>
    <w:rsid w:val="00A248E0"/>
    <w:rsid w:val="00A24EBD"/>
    <w:rsid w:val="00A24FF9"/>
    <w:rsid w:val="00A25161"/>
    <w:rsid w:val="00A25813"/>
    <w:rsid w:val="00A26359"/>
    <w:rsid w:val="00A26502"/>
    <w:rsid w:val="00A26922"/>
    <w:rsid w:val="00A26B5E"/>
    <w:rsid w:val="00A26BCF"/>
    <w:rsid w:val="00A27931"/>
    <w:rsid w:val="00A31C94"/>
    <w:rsid w:val="00A31FFF"/>
    <w:rsid w:val="00A32113"/>
    <w:rsid w:val="00A32E44"/>
    <w:rsid w:val="00A3496A"/>
    <w:rsid w:val="00A35DE4"/>
    <w:rsid w:val="00A3703E"/>
    <w:rsid w:val="00A40771"/>
    <w:rsid w:val="00A412A7"/>
    <w:rsid w:val="00A418D3"/>
    <w:rsid w:val="00A41C71"/>
    <w:rsid w:val="00A4252C"/>
    <w:rsid w:val="00A44C3E"/>
    <w:rsid w:val="00A46166"/>
    <w:rsid w:val="00A461C7"/>
    <w:rsid w:val="00A463A2"/>
    <w:rsid w:val="00A46A6D"/>
    <w:rsid w:val="00A470C1"/>
    <w:rsid w:val="00A47D69"/>
    <w:rsid w:val="00A520C0"/>
    <w:rsid w:val="00A526F1"/>
    <w:rsid w:val="00A52DF6"/>
    <w:rsid w:val="00A54AA5"/>
    <w:rsid w:val="00A550AE"/>
    <w:rsid w:val="00A5657A"/>
    <w:rsid w:val="00A568C7"/>
    <w:rsid w:val="00A56F32"/>
    <w:rsid w:val="00A5756F"/>
    <w:rsid w:val="00A57632"/>
    <w:rsid w:val="00A57FCB"/>
    <w:rsid w:val="00A60053"/>
    <w:rsid w:val="00A601B9"/>
    <w:rsid w:val="00A60AD1"/>
    <w:rsid w:val="00A62A70"/>
    <w:rsid w:val="00A6516E"/>
    <w:rsid w:val="00A66841"/>
    <w:rsid w:val="00A66D30"/>
    <w:rsid w:val="00A66D56"/>
    <w:rsid w:val="00A67448"/>
    <w:rsid w:val="00A67D09"/>
    <w:rsid w:val="00A70667"/>
    <w:rsid w:val="00A70CB3"/>
    <w:rsid w:val="00A71CAF"/>
    <w:rsid w:val="00A72294"/>
    <w:rsid w:val="00A742BA"/>
    <w:rsid w:val="00A74514"/>
    <w:rsid w:val="00A756FA"/>
    <w:rsid w:val="00A81C0F"/>
    <w:rsid w:val="00A834E1"/>
    <w:rsid w:val="00A85C8D"/>
    <w:rsid w:val="00A872A2"/>
    <w:rsid w:val="00A92AD0"/>
    <w:rsid w:val="00A93461"/>
    <w:rsid w:val="00A934A6"/>
    <w:rsid w:val="00A93586"/>
    <w:rsid w:val="00A93853"/>
    <w:rsid w:val="00A95689"/>
    <w:rsid w:val="00A956D2"/>
    <w:rsid w:val="00A9577A"/>
    <w:rsid w:val="00A95B29"/>
    <w:rsid w:val="00A96873"/>
    <w:rsid w:val="00AA1330"/>
    <w:rsid w:val="00AA21E9"/>
    <w:rsid w:val="00AA34E0"/>
    <w:rsid w:val="00AA3E52"/>
    <w:rsid w:val="00AA4949"/>
    <w:rsid w:val="00AA4E86"/>
    <w:rsid w:val="00AA5D41"/>
    <w:rsid w:val="00AA659D"/>
    <w:rsid w:val="00AA68AB"/>
    <w:rsid w:val="00AA76AF"/>
    <w:rsid w:val="00AA7AAB"/>
    <w:rsid w:val="00AA7B5D"/>
    <w:rsid w:val="00AB0471"/>
    <w:rsid w:val="00AB0F58"/>
    <w:rsid w:val="00AB1B30"/>
    <w:rsid w:val="00AB3D3A"/>
    <w:rsid w:val="00AB6806"/>
    <w:rsid w:val="00AC023F"/>
    <w:rsid w:val="00AC1D68"/>
    <w:rsid w:val="00AC2CF1"/>
    <w:rsid w:val="00AC2DC3"/>
    <w:rsid w:val="00AC41F3"/>
    <w:rsid w:val="00AC5837"/>
    <w:rsid w:val="00AC6915"/>
    <w:rsid w:val="00AC794E"/>
    <w:rsid w:val="00AD02B6"/>
    <w:rsid w:val="00AD3FF5"/>
    <w:rsid w:val="00AD4903"/>
    <w:rsid w:val="00AD5639"/>
    <w:rsid w:val="00AD5783"/>
    <w:rsid w:val="00AD6846"/>
    <w:rsid w:val="00AD7A8E"/>
    <w:rsid w:val="00AD7BAE"/>
    <w:rsid w:val="00AE088D"/>
    <w:rsid w:val="00AE0F79"/>
    <w:rsid w:val="00AE17B1"/>
    <w:rsid w:val="00AE3C67"/>
    <w:rsid w:val="00AE49A4"/>
    <w:rsid w:val="00AE6307"/>
    <w:rsid w:val="00AE70C2"/>
    <w:rsid w:val="00AF06B7"/>
    <w:rsid w:val="00AF1D0C"/>
    <w:rsid w:val="00AF3328"/>
    <w:rsid w:val="00AF36B9"/>
    <w:rsid w:val="00AF4B80"/>
    <w:rsid w:val="00AF5C4B"/>
    <w:rsid w:val="00AF6DA6"/>
    <w:rsid w:val="00AF77E5"/>
    <w:rsid w:val="00B0017F"/>
    <w:rsid w:val="00B020AD"/>
    <w:rsid w:val="00B02101"/>
    <w:rsid w:val="00B02535"/>
    <w:rsid w:val="00B03B08"/>
    <w:rsid w:val="00B03B12"/>
    <w:rsid w:val="00B04144"/>
    <w:rsid w:val="00B0464F"/>
    <w:rsid w:val="00B04DC7"/>
    <w:rsid w:val="00B04F29"/>
    <w:rsid w:val="00B05A08"/>
    <w:rsid w:val="00B05DA0"/>
    <w:rsid w:val="00B07276"/>
    <w:rsid w:val="00B101A4"/>
    <w:rsid w:val="00B11A83"/>
    <w:rsid w:val="00B128F5"/>
    <w:rsid w:val="00B131B4"/>
    <w:rsid w:val="00B13929"/>
    <w:rsid w:val="00B15385"/>
    <w:rsid w:val="00B15703"/>
    <w:rsid w:val="00B16BA5"/>
    <w:rsid w:val="00B208D9"/>
    <w:rsid w:val="00B20DEE"/>
    <w:rsid w:val="00B21332"/>
    <w:rsid w:val="00B21D59"/>
    <w:rsid w:val="00B234BE"/>
    <w:rsid w:val="00B23FB8"/>
    <w:rsid w:val="00B244CF"/>
    <w:rsid w:val="00B245B1"/>
    <w:rsid w:val="00B2491A"/>
    <w:rsid w:val="00B25066"/>
    <w:rsid w:val="00B26E68"/>
    <w:rsid w:val="00B2722C"/>
    <w:rsid w:val="00B27929"/>
    <w:rsid w:val="00B30836"/>
    <w:rsid w:val="00B30A51"/>
    <w:rsid w:val="00B30D59"/>
    <w:rsid w:val="00B40988"/>
    <w:rsid w:val="00B41722"/>
    <w:rsid w:val="00B41784"/>
    <w:rsid w:val="00B41E39"/>
    <w:rsid w:val="00B41E6F"/>
    <w:rsid w:val="00B43CBB"/>
    <w:rsid w:val="00B45906"/>
    <w:rsid w:val="00B469A3"/>
    <w:rsid w:val="00B46A8A"/>
    <w:rsid w:val="00B4759E"/>
    <w:rsid w:val="00B503DD"/>
    <w:rsid w:val="00B50543"/>
    <w:rsid w:val="00B51EF7"/>
    <w:rsid w:val="00B5256E"/>
    <w:rsid w:val="00B52D5D"/>
    <w:rsid w:val="00B56865"/>
    <w:rsid w:val="00B57B45"/>
    <w:rsid w:val="00B603F1"/>
    <w:rsid w:val="00B606B3"/>
    <w:rsid w:val="00B60B10"/>
    <w:rsid w:val="00B63142"/>
    <w:rsid w:val="00B632DF"/>
    <w:rsid w:val="00B6339E"/>
    <w:rsid w:val="00B63C61"/>
    <w:rsid w:val="00B644AA"/>
    <w:rsid w:val="00B64680"/>
    <w:rsid w:val="00B64FD5"/>
    <w:rsid w:val="00B65243"/>
    <w:rsid w:val="00B65532"/>
    <w:rsid w:val="00B7033E"/>
    <w:rsid w:val="00B705B3"/>
    <w:rsid w:val="00B71D4B"/>
    <w:rsid w:val="00B72693"/>
    <w:rsid w:val="00B7274D"/>
    <w:rsid w:val="00B7346A"/>
    <w:rsid w:val="00B7747F"/>
    <w:rsid w:val="00B80FC2"/>
    <w:rsid w:val="00B81D6F"/>
    <w:rsid w:val="00B835B1"/>
    <w:rsid w:val="00B86262"/>
    <w:rsid w:val="00B8685E"/>
    <w:rsid w:val="00B90B0F"/>
    <w:rsid w:val="00B90D74"/>
    <w:rsid w:val="00B90FA6"/>
    <w:rsid w:val="00B931B4"/>
    <w:rsid w:val="00B9594E"/>
    <w:rsid w:val="00B96301"/>
    <w:rsid w:val="00B9698C"/>
    <w:rsid w:val="00B96CEC"/>
    <w:rsid w:val="00B96E2C"/>
    <w:rsid w:val="00B97238"/>
    <w:rsid w:val="00BA2699"/>
    <w:rsid w:val="00BA4A71"/>
    <w:rsid w:val="00BA59A7"/>
    <w:rsid w:val="00BA5E75"/>
    <w:rsid w:val="00BA71A4"/>
    <w:rsid w:val="00BB0604"/>
    <w:rsid w:val="00BB0E3E"/>
    <w:rsid w:val="00BB1195"/>
    <w:rsid w:val="00BB1463"/>
    <w:rsid w:val="00BB1650"/>
    <w:rsid w:val="00BB1C57"/>
    <w:rsid w:val="00BB3CBD"/>
    <w:rsid w:val="00BB3FB2"/>
    <w:rsid w:val="00BB4EFB"/>
    <w:rsid w:val="00BB6626"/>
    <w:rsid w:val="00BB6818"/>
    <w:rsid w:val="00BB7D10"/>
    <w:rsid w:val="00BC0C49"/>
    <w:rsid w:val="00BC1679"/>
    <w:rsid w:val="00BC2AA6"/>
    <w:rsid w:val="00BC55EE"/>
    <w:rsid w:val="00BC6C4D"/>
    <w:rsid w:val="00BD02A0"/>
    <w:rsid w:val="00BD0477"/>
    <w:rsid w:val="00BD0C9D"/>
    <w:rsid w:val="00BD14E7"/>
    <w:rsid w:val="00BD1522"/>
    <w:rsid w:val="00BD17F1"/>
    <w:rsid w:val="00BD1C64"/>
    <w:rsid w:val="00BD4657"/>
    <w:rsid w:val="00BD4F54"/>
    <w:rsid w:val="00BD5779"/>
    <w:rsid w:val="00BD5820"/>
    <w:rsid w:val="00BD66EE"/>
    <w:rsid w:val="00BD6E99"/>
    <w:rsid w:val="00BD7C3E"/>
    <w:rsid w:val="00BE2701"/>
    <w:rsid w:val="00BE2A26"/>
    <w:rsid w:val="00BE3A9A"/>
    <w:rsid w:val="00BE5580"/>
    <w:rsid w:val="00BE678C"/>
    <w:rsid w:val="00BE7316"/>
    <w:rsid w:val="00BE77DF"/>
    <w:rsid w:val="00BF1801"/>
    <w:rsid w:val="00BF18DC"/>
    <w:rsid w:val="00BF1B09"/>
    <w:rsid w:val="00BF2666"/>
    <w:rsid w:val="00BF39A7"/>
    <w:rsid w:val="00BF3FC4"/>
    <w:rsid w:val="00BF4373"/>
    <w:rsid w:val="00BF4792"/>
    <w:rsid w:val="00BF6165"/>
    <w:rsid w:val="00BF7F12"/>
    <w:rsid w:val="00C014AC"/>
    <w:rsid w:val="00C015B5"/>
    <w:rsid w:val="00C02483"/>
    <w:rsid w:val="00C02F9C"/>
    <w:rsid w:val="00C0508A"/>
    <w:rsid w:val="00C0639F"/>
    <w:rsid w:val="00C0745F"/>
    <w:rsid w:val="00C07E7F"/>
    <w:rsid w:val="00C100B4"/>
    <w:rsid w:val="00C10F66"/>
    <w:rsid w:val="00C11678"/>
    <w:rsid w:val="00C11D36"/>
    <w:rsid w:val="00C145F6"/>
    <w:rsid w:val="00C14890"/>
    <w:rsid w:val="00C16D87"/>
    <w:rsid w:val="00C175B3"/>
    <w:rsid w:val="00C17E9C"/>
    <w:rsid w:val="00C21920"/>
    <w:rsid w:val="00C21E46"/>
    <w:rsid w:val="00C22098"/>
    <w:rsid w:val="00C23BA8"/>
    <w:rsid w:val="00C24017"/>
    <w:rsid w:val="00C2641D"/>
    <w:rsid w:val="00C26866"/>
    <w:rsid w:val="00C27BB9"/>
    <w:rsid w:val="00C31F48"/>
    <w:rsid w:val="00C31FCE"/>
    <w:rsid w:val="00C3279E"/>
    <w:rsid w:val="00C33374"/>
    <w:rsid w:val="00C33801"/>
    <w:rsid w:val="00C35304"/>
    <w:rsid w:val="00C36F1C"/>
    <w:rsid w:val="00C372C0"/>
    <w:rsid w:val="00C40AC8"/>
    <w:rsid w:val="00C40CFD"/>
    <w:rsid w:val="00C419C2"/>
    <w:rsid w:val="00C42246"/>
    <w:rsid w:val="00C43E09"/>
    <w:rsid w:val="00C43F8C"/>
    <w:rsid w:val="00C441D7"/>
    <w:rsid w:val="00C46FAF"/>
    <w:rsid w:val="00C470BA"/>
    <w:rsid w:val="00C500B2"/>
    <w:rsid w:val="00C50383"/>
    <w:rsid w:val="00C53841"/>
    <w:rsid w:val="00C54619"/>
    <w:rsid w:val="00C56A8B"/>
    <w:rsid w:val="00C57494"/>
    <w:rsid w:val="00C57A52"/>
    <w:rsid w:val="00C60163"/>
    <w:rsid w:val="00C612C8"/>
    <w:rsid w:val="00C618C6"/>
    <w:rsid w:val="00C61933"/>
    <w:rsid w:val="00C62018"/>
    <w:rsid w:val="00C625EC"/>
    <w:rsid w:val="00C6436F"/>
    <w:rsid w:val="00C64C78"/>
    <w:rsid w:val="00C66FE3"/>
    <w:rsid w:val="00C67D97"/>
    <w:rsid w:val="00C67DF3"/>
    <w:rsid w:val="00C71DA8"/>
    <w:rsid w:val="00C73F8C"/>
    <w:rsid w:val="00C74FC1"/>
    <w:rsid w:val="00C75D0A"/>
    <w:rsid w:val="00C75D50"/>
    <w:rsid w:val="00C762B3"/>
    <w:rsid w:val="00C771E2"/>
    <w:rsid w:val="00C800D4"/>
    <w:rsid w:val="00C81366"/>
    <w:rsid w:val="00C8170A"/>
    <w:rsid w:val="00C81F95"/>
    <w:rsid w:val="00C830C6"/>
    <w:rsid w:val="00C835B0"/>
    <w:rsid w:val="00C842AC"/>
    <w:rsid w:val="00C9090B"/>
    <w:rsid w:val="00C91F85"/>
    <w:rsid w:val="00C931D9"/>
    <w:rsid w:val="00C95149"/>
    <w:rsid w:val="00C964AF"/>
    <w:rsid w:val="00C97443"/>
    <w:rsid w:val="00CA2052"/>
    <w:rsid w:val="00CA308E"/>
    <w:rsid w:val="00CA36FA"/>
    <w:rsid w:val="00CA4418"/>
    <w:rsid w:val="00CA44FC"/>
    <w:rsid w:val="00CA4D47"/>
    <w:rsid w:val="00CA4E20"/>
    <w:rsid w:val="00CA5851"/>
    <w:rsid w:val="00CB0837"/>
    <w:rsid w:val="00CB09E6"/>
    <w:rsid w:val="00CB0E77"/>
    <w:rsid w:val="00CB1C0B"/>
    <w:rsid w:val="00CB22B9"/>
    <w:rsid w:val="00CB3C89"/>
    <w:rsid w:val="00CB3F39"/>
    <w:rsid w:val="00CB53AC"/>
    <w:rsid w:val="00CB62AA"/>
    <w:rsid w:val="00CB7F8C"/>
    <w:rsid w:val="00CC17D4"/>
    <w:rsid w:val="00CC1AA8"/>
    <w:rsid w:val="00CC255C"/>
    <w:rsid w:val="00CC379B"/>
    <w:rsid w:val="00CC3E28"/>
    <w:rsid w:val="00CC43FE"/>
    <w:rsid w:val="00CC5D63"/>
    <w:rsid w:val="00CC71DD"/>
    <w:rsid w:val="00CC7A30"/>
    <w:rsid w:val="00CD009F"/>
    <w:rsid w:val="00CD0306"/>
    <w:rsid w:val="00CD04F5"/>
    <w:rsid w:val="00CD0DB7"/>
    <w:rsid w:val="00CD130E"/>
    <w:rsid w:val="00CD1860"/>
    <w:rsid w:val="00CD2F86"/>
    <w:rsid w:val="00CD31DF"/>
    <w:rsid w:val="00CD3AC2"/>
    <w:rsid w:val="00CD57CE"/>
    <w:rsid w:val="00CD64CB"/>
    <w:rsid w:val="00CD65FB"/>
    <w:rsid w:val="00CD70E8"/>
    <w:rsid w:val="00CD7FC0"/>
    <w:rsid w:val="00CE0E2F"/>
    <w:rsid w:val="00CE203F"/>
    <w:rsid w:val="00CE2B02"/>
    <w:rsid w:val="00CE3C63"/>
    <w:rsid w:val="00CE4037"/>
    <w:rsid w:val="00CE66F9"/>
    <w:rsid w:val="00CF0880"/>
    <w:rsid w:val="00CF2038"/>
    <w:rsid w:val="00CF2451"/>
    <w:rsid w:val="00CF2ACE"/>
    <w:rsid w:val="00CF37A6"/>
    <w:rsid w:val="00CF58C0"/>
    <w:rsid w:val="00CF6F51"/>
    <w:rsid w:val="00CF71BD"/>
    <w:rsid w:val="00D018D1"/>
    <w:rsid w:val="00D02E1D"/>
    <w:rsid w:val="00D034AD"/>
    <w:rsid w:val="00D03A7A"/>
    <w:rsid w:val="00D03BF6"/>
    <w:rsid w:val="00D042EA"/>
    <w:rsid w:val="00D04D9A"/>
    <w:rsid w:val="00D0537B"/>
    <w:rsid w:val="00D05459"/>
    <w:rsid w:val="00D070C8"/>
    <w:rsid w:val="00D070DA"/>
    <w:rsid w:val="00D10DEB"/>
    <w:rsid w:val="00D1178C"/>
    <w:rsid w:val="00D126CB"/>
    <w:rsid w:val="00D135FB"/>
    <w:rsid w:val="00D146C7"/>
    <w:rsid w:val="00D15F1C"/>
    <w:rsid w:val="00D1658B"/>
    <w:rsid w:val="00D16BDD"/>
    <w:rsid w:val="00D16E1E"/>
    <w:rsid w:val="00D22668"/>
    <w:rsid w:val="00D22885"/>
    <w:rsid w:val="00D243EC"/>
    <w:rsid w:val="00D245F4"/>
    <w:rsid w:val="00D24BA0"/>
    <w:rsid w:val="00D255CE"/>
    <w:rsid w:val="00D25D50"/>
    <w:rsid w:val="00D27152"/>
    <w:rsid w:val="00D27514"/>
    <w:rsid w:val="00D3065A"/>
    <w:rsid w:val="00D320BB"/>
    <w:rsid w:val="00D32298"/>
    <w:rsid w:val="00D3258E"/>
    <w:rsid w:val="00D32B05"/>
    <w:rsid w:val="00D333B1"/>
    <w:rsid w:val="00D34BD4"/>
    <w:rsid w:val="00D35957"/>
    <w:rsid w:val="00D35987"/>
    <w:rsid w:val="00D36E7C"/>
    <w:rsid w:val="00D3712E"/>
    <w:rsid w:val="00D4155F"/>
    <w:rsid w:val="00D43048"/>
    <w:rsid w:val="00D448C6"/>
    <w:rsid w:val="00D455A7"/>
    <w:rsid w:val="00D50AD6"/>
    <w:rsid w:val="00D515B8"/>
    <w:rsid w:val="00D51747"/>
    <w:rsid w:val="00D534E0"/>
    <w:rsid w:val="00D53CF0"/>
    <w:rsid w:val="00D54203"/>
    <w:rsid w:val="00D5584E"/>
    <w:rsid w:val="00D558FB"/>
    <w:rsid w:val="00D5671C"/>
    <w:rsid w:val="00D571B6"/>
    <w:rsid w:val="00D62106"/>
    <w:rsid w:val="00D633B4"/>
    <w:rsid w:val="00D639D1"/>
    <w:rsid w:val="00D6498D"/>
    <w:rsid w:val="00D65013"/>
    <w:rsid w:val="00D65F80"/>
    <w:rsid w:val="00D6701A"/>
    <w:rsid w:val="00D702B9"/>
    <w:rsid w:val="00D71412"/>
    <w:rsid w:val="00D71EF5"/>
    <w:rsid w:val="00D72090"/>
    <w:rsid w:val="00D73889"/>
    <w:rsid w:val="00D73ECD"/>
    <w:rsid w:val="00D74C08"/>
    <w:rsid w:val="00D74EC4"/>
    <w:rsid w:val="00D760A8"/>
    <w:rsid w:val="00D763BD"/>
    <w:rsid w:val="00D8188F"/>
    <w:rsid w:val="00D83540"/>
    <w:rsid w:val="00D83EF3"/>
    <w:rsid w:val="00D85622"/>
    <w:rsid w:val="00D868FD"/>
    <w:rsid w:val="00D92FE1"/>
    <w:rsid w:val="00D9341F"/>
    <w:rsid w:val="00D9486F"/>
    <w:rsid w:val="00D9512C"/>
    <w:rsid w:val="00D960B0"/>
    <w:rsid w:val="00D9640A"/>
    <w:rsid w:val="00D97CD3"/>
    <w:rsid w:val="00D97E2C"/>
    <w:rsid w:val="00DA092C"/>
    <w:rsid w:val="00DA3E20"/>
    <w:rsid w:val="00DA4BBA"/>
    <w:rsid w:val="00DA4CE3"/>
    <w:rsid w:val="00DA68C3"/>
    <w:rsid w:val="00DB0030"/>
    <w:rsid w:val="00DB0160"/>
    <w:rsid w:val="00DB0F20"/>
    <w:rsid w:val="00DB10B7"/>
    <w:rsid w:val="00DB2C02"/>
    <w:rsid w:val="00DB40F2"/>
    <w:rsid w:val="00DB5841"/>
    <w:rsid w:val="00DB65C5"/>
    <w:rsid w:val="00DB745F"/>
    <w:rsid w:val="00DC0427"/>
    <w:rsid w:val="00DC1469"/>
    <w:rsid w:val="00DC1741"/>
    <w:rsid w:val="00DC1D82"/>
    <w:rsid w:val="00DC1FDA"/>
    <w:rsid w:val="00DC2040"/>
    <w:rsid w:val="00DC40CC"/>
    <w:rsid w:val="00DC4F63"/>
    <w:rsid w:val="00DC54AB"/>
    <w:rsid w:val="00DC5E8C"/>
    <w:rsid w:val="00DC7A72"/>
    <w:rsid w:val="00DC7F55"/>
    <w:rsid w:val="00DC7F71"/>
    <w:rsid w:val="00DD09AA"/>
    <w:rsid w:val="00DD0E8A"/>
    <w:rsid w:val="00DD18C2"/>
    <w:rsid w:val="00DD21DF"/>
    <w:rsid w:val="00DD2BB8"/>
    <w:rsid w:val="00DD2CD9"/>
    <w:rsid w:val="00DD3A1E"/>
    <w:rsid w:val="00DD4E6B"/>
    <w:rsid w:val="00DD6564"/>
    <w:rsid w:val="00DD7548"/>
    <w:rsid w:val="00DE0841"/>
    <w:rsid w:val="00DE0FD6"/>
    <w:rsid w:val="00DE170D"/>
    <w:rsid w:val="00DE2FC2"/>
    <w:rsid w:val="00DE37CC"/>
    <w:rsid w:val="00DE450E"/>
    <w:rsid w:val="00DF06D9"/>
    <w:rsid w:val="00DF0C86"/>
    <w:rsid w:val="00DF10E5"/>
    <w:rsid w:val="00DF24D9"/>
    <w:rsid w:val="00DF3344"/>
    <w:rsid w:val="00DF4A43"/>
    <w:rsid w:val="00DF4CE1"/>
    <w:rsid w:val="00DF5AB6"/>
    <w:rsid w:val="00DF7400"/>
    <w:rsid w:val="00DF7E8C"/>
    <w:rsid w:val="00E00D1F"/>
    <w:rsid w:val="00E015E5"/>
    <w:rsid w:val="00E03398"/>
    <w:rsid w:val="00E04F24"/>
    <w:rsid w:val="00E04F6D"/>
    <w:rsid w:val="00E06E09"/>
    <w:rsid w:val="00E11BC2"/>
    <w:rsid w:val="00E12539"/>
    <w:rsid w:val="00E12DB8"/>
    <w:rsid w:val="00E13B68"/>
    <w:rsid w:val="00E16155"/>
    <w:rsid w:val="00E1620F"/>
    <w:rsid w:val="00E16CAE"/>
    <w:rsid w:val="00E16FE9"/>
    <w:rsid w:val="00E172F9"/>
    <w:rsid w:val="00E17770"/>
    <w:rsid w:val="00E17CBF"/>
    <w:rsid w:val="00E2006C"/>
    <w:rsid w:val="00E207B2"/>
    <w:rsid w:val="00E20FCE"/>
    <w:rsid w:val="00E212B6"/>
    <w:rsid w:val="00E22D31"/>
    <w:rsid w:val="00E22E15"/>
    <w:rsid w:val="00E2301F"/>
    <w:rsid w:val="00E242C6"/>
    <w:rsid w:val="00E248E1"/>
    <w:rsid w:val="00E303E0"/>
    <w:rsid w:val="00E30638"/>
    <w:rsid w:val="00E30943"/>
    <w:rsid w:val="00E3141E"/>
    <w:rsid w:val="00E32181"/>
    <w:rsid w:val="00E34DFD"/>
    <w:rsid w:val="00E35370"/>
    <w:rsid w:val="00E3541D"/>
    <w:rsid w:val="00E35F42"/>
    <w:rsid w:val="00E377D1"/>
    <w:rsid w:val="00E40636"/>
    <w:rsid w:val="00E413E8"/>
    <w:rsid w:val="00E4190C"/>
    <w:rsid w:val="00E42140"/>
    <w:rsid w:val="00E43659"/>
    <w:rsid w:val="00E4503E"/>
    <w:rsid w:val="00E45EA5"/>
    <w:rsid w:val="00E45F7E"/>
    <w:rsid w:val="00E464C8"/>
    <w:rsid w:val="00E50482"/>
    <w:rsid w:val="00E50C14"/>
    <w:rsid w:val="00E51C68"/>
    <w:rsid w:val="00E54D0F"/>
    <w:rsid w:val="00E554E6"/>
    <w:rsid w:val="00E55CCE"/>
    <w:rsid w:val="00E56E05"/>
    <w:rsid w:val="00E60C97"/>
    <w:rsid w:val="00E6116B"/>
    <w:rsid w:val="00E6257F"/>
    <w:rsid w:val="00E63273"/>
    <w:rsid w:val="00E6327A"/>
    <w:rsid w:val="00E63582"/>
    <w:rsid w:val="00E6416B"/>
    <w:rsid w:val="00E6489A"/>
    <w:rsid w:val="00E65946"/>
    <w:rsid w:val="00E66180"/>
    <w:rsid w:val="00E66981"/>
    <w:rsid w:val="00E6703F"/>
    <w:rsid w:val="00E70842"/>
    <w:rsid w:val="00E727AF"/>
    <w:rsid w:val="00E73BD2"/>
    <w:rsid w:val="00E7480B"/>
    <w:rsid w:val="00E74FC4"/>
    <w:rsid w:val="00E76BA1"/>
    <w:rsid w:val="00E8143D"/>
    <w:rsid w:val="00E818A5"/>
    <w:rsid w:val="00E81A69"/>
    <w:rsid w:val="00E83884"/>
    <w:rsid w:val="00E841D5"/>
    <w:rsid w:val="00E877B1"/>
    <w:rsid w:val="00E87B8B"/>
    <w:rsid w:val="00E87ED2"/>
    <w:rsid w:val="00E90C6B"/>
    <w:rsid w:val="00E918A8"/>
    <w:rsid w:val="00E93426"/>
    <w:rsid w:val="00E94FC4"/>
    <w:rsid w:val="00E9513F"/>
    <w:rsid w:val="00E96313"/>
    <w:rsid w:val="00E977E8"/>
    <w:rsid w:val="00EA3CFC"/>
    <w:rsid w:val="00EA4A98"/>
    <w:rsid w:val="00EA5391"/>
    <w:rsid w:val="00EA5719"/>
    <w:rsid w:val="00EA671B"/>
    <w:rsid w:val="00EA6926"/>
    <w:rsid w:val="00EA79C8"/>
    <w:rsid w:val="00EA7B40"/>
    <w:rsid w:val="00EB0887"/>
    <w:rsid w:val="00EB18A2"/>
    <w:rsid w:val="00EB2017"/>
    <w:rsid w:val="00EB21B9"/>
    <w:rsid w:val="00EB28F4"/>
    <w:rsid w:val="00EB35D8"/>
    <w:rsid w:val="00EB426A"/>
    <w:rsid w:val="00EB43A9"/>
    <w:rsid w:val="00EB4C95"/>
    <w:rsid w:val="00EB51A8"/>
    <w:rsid w:val="00EB59E7"/>
    <w:rsid w:val="00EB7971"/>
    <w:rsid w:val="00EC0389"/>
    <w:rsid w:val="00EC0D14"/>
    <w:rsid w:val="00EC16B9"/>
    <w:rsid w:val="00EC2B44"/>
    <w:rsid w:val="00EC2C09"/>
    <w:rsid w:val="00EC2E49"/>
    <w:rsid w:val="00EC41F7"/>
    <w:rsid w:val="00EC60F5"/>
    <w:rsid w:val="00ED04D6"/>
    <w:rsid w:val="00ED0D4F"/>
    <w:rsid w:val="00ED15E7"/>
    <w:rsid w:val="00ED1AC3"/>
    <w:rsid w:val="00ED1E01"/>
    <w:rsid w:val="00ED24A9"/>
    <w:rsid w:val="00ED2E52"/>
    <w:rsid w:val="00ED400D"/>
    <w:rsid w:val="00ED45F6"/>
    <w:rsid w:val="00ED5009"/>
    <w:rsid w:val="00ED572B"/>
    <w:rsid w:val="00ED6574"/>
    <w:rsid w:val="00ED6B87"/>
    <w:rsid w:val="00EE08D1"/>
    <w:rsid w:val="00EE4D5B"/>
    <w:rsid w:val="00EE5CC3"/>
    <w:rsid w:val="00EE5F89"/>
    <w:rsid w:val="00EF13BF"/>
    <w:rsid w:val="00EF1CB3"/>
    <w:rsid w:val="00EF28A1"/>
    <w:rsid w:val="00EF28AD"/>
    <w:rsid w:val="00EF31B3"/>
    <w:rsid w:val="00EF4B7D"/>
    <w:rsid w:val="00EF62D5"/>
    <w:rsid w:val="00EF790C"/>
    <w:rsid w:val="00F01598"/>
    <w:rsid w:val="00F026FF"/>
    <w:rsid w:val="00F0494E"/>
    <w:rsid w:val="00F05921"/>
    <w:rsid w:val="00F06052"/>
    <w:rsid w:val="00F062FB"/>
    <w:rsid w:val="00F0648A"/>
    <w:rsid w:val="00F06FD2"/>
    <w:rsid w:val="00F14475"/>
    <w:rsid w:val="00F2001D"/>
    <w:rsid w:val="00F21479"/>
    <w:rsid w:val="00F23798"/>
    <w:rsid w:val="00F248F1"/>
    <w:rsid w:val="00F25F29"/>
    <w:rsid w:val="00F26566"/>
    <w:rsid w:val="00F276A3"/>
    <w:rsid w:val="00F27ED6"/>
    <w:rsid w:val="00F30FA2"/>
    <w:rsid w:val="00F31DAA"/>
    <w:rsid w:val="00F328BE"/>
    <w:rsid w:val="00F3505B"/>
    <w:rsid w:val="00F41C29"/>
    <w:rsid w:val="00F44F33"/>
    <w:rsid w:val="00F456C5"/>
    <w:rsid w:val="00F458D3"/>
    <w:rsid w:val="00F45CBB"/>
    <w:rsid w:val="00F46084"/>
    <w:rsid w:val="00F50F80"/>
    <w:rsid w:val="00F5191C"/>
    <w:rsid w:val="00F53A56"/>
    <w:rsid w:val="00F53C7C"/>
    <w:rsid w:val="00F547CB"/>
    <w:rsid w:val="00F5494C"/>
    <w:rsid w:val="00F54C57"/>
    <w:rsid w:val="00F55C90"/>
    <w:rsid w:val="00F60201"/>
    <w:rsid w:val="00F61581"/>
    <w:rsid w:val="00F61DBB"/>
    <w:rsid w:val="00F623B3"/>
    <w:rsid w:val="00F64116"/>
    <w:rsid w:val="00F6416B"/>
    <w:rsid w:val="00F659AC"/>
    <w:rsid w:val="00F66999"/>
    <w:rsid w:val="00F6768C"/>
    <w:rsid w:val="00F67DC1"/>
    <w:rsid w:val="00F70AE5"/>
    <w:rsid w:val="00F70B77"/>
    <w:rsid w:val="00F7224D"/>
    <w:rsid w:val="00F72317"/>
    <w:rsid w:val="00F725EE"/>
    <w:rsid w:val="00F728B7"/>
    <w:rsid w:val="00F73D75"/>
    <w:rsid w:val="00F74745"/>
    <w:rsid w:val="00F761B2"/>
    <w:rsid w:val="00F76B32"/>
    <w:rsid w:val="00F77B65"/>
    <w:rsid w:val="00F77BE4"/>
    <w:rsid w:val="00F80601"/>
    <w:rsid w:val="00F80655"/>
    <w:rsid w:val="00F82AE6"/>
    <w:rsid w:val="00F847BC"/>
    <w:rsid w:val="00F84B87"/>
    <w:rsid w:val="00F867F3"/>
    <w:rsid w:val="00F90A5B"/>
    <w:rsid w:val="00F95E88"/>
    <w:rsid w:val="00FA054E"/>
    <w:rsid w:val="00FA0D5C"/>
    <w:rsid w:val="00FA19F4"/>
    <w:rsid w:val="00FA1C08"/>
    <w:rsid w:val="00FA1E36"/>
    <w:rsid w:val="00FA20CE"/>
    <w:rsid w:val="00FA522B"/>
    <w:rsid w:val="00FA6B73"/>
    <w:rsid w:val="00FB117E"/>
    <w:rsid w:val="00FB15B0"/>
    <w:rsid w:val="00FB39B2"/>
    <w:rsid w:val="00FB3FA0"/>
    <w:rsid w:val="00FB417D"/>
    <w:rsid w:val="00FB4B8C"/>
    <w:rsid w:val="00FB53C3"/>
    <w:rsid w:val="00FB5729"/>
    <w:rsid w:val="00FB598E"/>
    <w:rsid w:val="00FB6C7A"/>
    <w:rsid w:val="00FB7B45"/>
    <w:rsid w:val="00FB7DEE"/>
    <w:rsid w:val="00FC01B1"/>
    <w:rsid w:val="00FC0E63"/>
    <w:rsid w:val="00FC2D89"/>
    <w:rsid w:val="00FC2F52"/>
    <w:rsid w:val="00FC3460"/>
    <w:rsid w:val="00FC3E63"/>
    <w:rsid w:val="00FC4D01"/>
    <w:rsid w:val="00FC62C9"/>
    <w:rsid w:val="00FC6DB4"/>
    <w:rsid w:val="00FC6F23"/>
    <w:rsid w:val="00FC7696"/>
    <w:rsid w:val="00FC7E90"/>
    <w:rsid w:val="00FD001B"/>
    <w:rsid w:val="00FD0023"/>
    <w:rsid w:val="00FD09FE"/>
    <w:rsid w:val="00FD0E29"/>
    <w:rsid w:val="00FD34C2"/>
    <w:rsid w:val="00FD6641"/>
    <w:rsid w:val="00FD66E9"/>
    <w:rsid w:val="00FE13FF"/>
    <w:rsid w:val="00FE1909"/>
    <w:rsid w:val="00FE1CED"/>
    <w:rsid w:val="00FE23DA"/>
    <w:rsid w:val="00FE35E4"/>
    <w:rsid w:val="00FE36F2"/>
    <w:rsid w:val="00FE37F7"/>
    <w:rsid w:val="00FE40B4"/>
    <w:rsid w:val="00FE4B61"/>
    <w:rsid w:val="00FE4E2D"/>
    <w:rsid w:val="00FE64B2"/>
    <w:rsid w:val="00FE6632"/>
    <w:rsid w:val="00FF05C5"/>
    <w:rsid w:val="00FF163C"/>
    <w:rsid w:val="00FF189F"/>
    <w:rsid w:val="00FF2B09"/>
    <w:rsid w:val="00FF3616"/>
    <w:rsid w:val="00FF379D"/>
    <w:rsid w:val="00FF5D21"/>
    <w:rsid w:val="00FF7A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style="mso-position-horizontal-relative:page;mso-position-vertical-relative:page" strokecolor="none [3215]">
      <v:stroke color="none [3215]" weight="1pt"/>
    </o:shapedefaults>
    <o:shapelayout v:ext="edit">
      <o:idmap v:ext="edit" data="1"/>
    </o:shapelayout>
  </w:shapeDefaults>
  <w:decimalSymbol w:val=","/>
  <w:listSeparator w:val=";"/>
  <w14:docId w14:val="58B84B6C"/>
  <w15:docId w15:val="{2529101C-5309-4894-8BDF-59717BE0A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CD009F"/>
    <w:rPr>
      <w:lang w:val="en-GB"/>
    </w:rPr>
  </w:style>
  <w:style w:type="paragraph" w:styleId="berschrift1">
    <w:name w:val="heading 1"/>
    <w:basedOn w:val="Standard"/>
    <w:next w:val="Standard"/>
    <w:link w:val="berschrift1Zchn"/>
    <w:uiPriority w:val="9"/>
    <w:qFormat/>
    <w:rsid w:val="004B6993"/>
    <w:pPr>
      <w:keepNext/>
      <w:keepLines/>
      <w:spacing w:before="480"/>
      <w:outlineLvl w:val="0"/>
    </w:pPr>
    <w:rPr>
      <w:rFonts w:asciiTheme="majorHAnsi" w:eastAsiaTheme="majorEastAsia" w:hAnsiTheme="majorHAnsi" w:cstheme="majorBidi"/>
      <w:b/>
      <w:bCs/>
      <w:color w:val="424477" w:themeColor="accent1" w:themeShade="BF"/>
      <w:sz w:val="28"/>
      <w:szCs w:val="28"/>
    </w:rPr>
  </w:style>
  <w:style w:type="paragraph" w:styleId="berschrift2">
    <w:name w:val="heading 2"/>
    <w:basedOn w:val="Standard"/>
    <w:next w:val="Standard"/>
    <w:link w:val="berschrift2Zchn"/>
    <w:uiPriority w:val="9"/>
    <w:semiHidden/>
    <w:qFormat/>
    <w:rsid w:val="0001595A"/>
    <w:pPr>
      <w:keepNext/>
      <w:keepLines/>
      <w:spacing w:before="200"/>
      <w:outlineLvl w:val="1"/>
    </w:pPr>
    <w:rPr>
      <w:rFonts w:asciiTheme="majorHAnsi" w:eastAsiaTheme="majorEastAsia" w:hAnsiTheme="majorHAnsi" w:cstheme="majorBidi"/>
      <w:b/>
      <w:bCs/>
      <w:color w:val="585C9F" w:themeColor="accent1"/>
      <w:sz w:val="26"/>
      <w:szCs w:val="26"/>
    </w:rPr>
  </w:style>
  <w:style w:type="paragraph" w:styleId="berschrift3">
    <w:name w:val="heading 3"/>
    <w:basedOn w:val="Standard"/>
    <w:next w:val="Standard"/>
    <w:link w:val="berschrift3Zchn"/>
    <w:uiPriority w:val="99"/>
    <w:semiHidden/>
    <w:unhideWhenUsed/>
    <w:qFormat/>
    <w:rsid w:val="0001595A"/>
    <w:pPr>
      <w:keepNext/>
      <w:keepLines/>
      <w:spacing w:before="200"/>
      <w:outlineLvl w:val="2"/>
    </w:pPr>
    <w:rPr>
      <w:rFonts w:asciiTheme="majorHAnsi" w:eastAsiaTheme="majorEastAsia" w:hAnsiTheme="majorHAnsi" w:cstheme="majorBidi"/>
      <w:b/>
      <w:bCs/>
      <w:color w:val="585C9F"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7F4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regular">
    <w:name w:val="text regular"/>
    <w:basedOn w:val="Standard"/>
    <w:link w:val="textregularZchn"/>
    <w:qFormat/>
    <w:rsid w:val="00F46084"/>
    <w:pPr>
      <w:spacing w:after="120"/>
    </w:pPr>
  </w:style>
  <w:style w:type="paragraph" w:styleId="Kopfzeile">
    <w:name w:val="header"/>
    <w:basedOn w:val="Standard"/>
    <w:link w:val="KopfzeileZchn"/>
    <w:uiPriority w:val="99"/>
    <w:unhideWhenUsed/>
    <w:rsid w:val="00B04144"/>
    <w:pPr>
      <w:tabs>
        <w:tab w:val="center" w:pos="4536"/>
        <w:tab w:val="right" w:pos="9072"/>
      </w:tabs>
    </w:pPr>
  </w:style>
  <w:style w:type="character" w:customStyle="1" w:styleId="KopfzeileZchn">
    <w:name w:val="Kopfzeile Zchn"/>
    <w:basedOn w:val="Absatz-Standardschriftart"/>
    <w:link w:val="Kopfzeile"/>
    <w:uiPriority w:val="99"/>
    <w:rsid w:val="00B04144"/>
  </w:style>
  <w:style w:type="paragraph" w:styleId="Fuzeile">
    <w:name w:val="footer"/>
    <w:basedOn w:val="Standard"/>
    <w:link w:val="FuzeileZchn"/>
    <w:uiPriority w:val="99"/>
    <w:rsid w:val="00B04144"/>
    <w:pPr>
      <w:tabs>
        <w:tab w:val="center" w:pos="4536"/>
        <w:tab w:val="right" w:pos="9072"/>
      </w:tabs>
    </w:pPr>
  </w:style>
  <w:style w:type="character" w:customStyle="1" w:styleId="FuzeileZchn">
    <w:name w:val="Fußzeile Zchn"/>
    <w:basedOn w:val="Absatz-Standardschriftart"/>
    <w:link w:val="Fuzeile"/>
    <w:uiPriority w:val="99"/>
    <w:rsid w:val="00CD009F"/>
    <w:rPr>
      <w:lang w:val="en-GB"/>
    </w:rPr>
  </w:style>
  <w:style w:type="paragraph" w:styleId="Sprechblasentext">
    <w:name w:val="Balloon Text"/>
    <w:basedOn w:val="Standard"/>
    <w:link w:val="SprechblasentextZchn"/>
    <w:uiPriority w:val="99"/>
    <w:semiHidden/>
    <w:unhideWhenUsed/>
    <w:rsid w:val="00B0414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4144"/>
    <w:rPr>
      <w:rFonts w:ascii="Tahoma" w:hAnsi="Tahoma" w:cs="Tahoma"/>
      <w:sz w:val="16"/>
      <w:szCs w:val="16"/>
    </w:rPr>
  </w:style>
  <w:style w:type="paragraph" w:customStyle="1" w:styleId="headlineheader">
    <w:name w:val="headline header"/>
    <w:basedOn w:val="textregular"/>
    <w:uiPriority w:val="1"/>
    <w:qFormat/>
    <w:rsid w:val="007A686E"/>
    <w:pPr>
      <w:spacing w:after="280" w:line="600" w:lineRule="exact"/>
    </w:pPr>
    <w:rPr>
      <w:rFonts w:asciiTheme="majorHAnsi" w:hAnsiTheme="majorHAnsi" w:cstheme="majorHAnsi"/>
      <w:b/>
      <w:color w:val="23236E" w:themeColor="text2"/>
      <w:sz w:val="57"/>
      <w:szCs w:val="57"/>
    </w:rPr>
  </w:style>
  <w:style w:type="paragraph" w:customStyle="1" w:styleId="textheader">
    <w:name w:val="text header"/>
    <w:basedOn w:val="textregular"/>
    <w:uiPriority w:val="1"/>
    <w:qFormat/>
    <w:rsid w:val="00B30D59"/>
    <w:pPr>
      <w:spacing w:after="400" w:line="500" w:lineRule="exact"/>
    </w:pPr>
    <w:rPr>
      <w:rFonts w:asciiTheme="majorHAnsi" w:hAnsiTheme="majorHAnsi" w:cstheme="majorHAnsi"/>
      <w:color w:val="23236E" w:themeColor="text2"/>
      <w:sz w:val="40"/>
      <w:szCs w:val="40"/>
      <w:lang w:val="en-US"/>
    </w:rPr>
  </w:style>
  <w:style w:type="paragraph" w:customStyle="1" w:styleId="time">
    <w:name w:val="time"/>
    <w:basedOn w:val="textregular"/>
    <w:uiPriority w:val="1"/>
    <w:qFormat/>
    <w:rsid w:val="007A686E"/>
    <w:pPr>
      <w:framePr w:hSpace="142" w:vSpace="5528" w:wrap="around" w:vAnchor="page" w:hAnchor="page" w:x="1362" w:y="5104"/>
      <w:spacing w:after="0" w:line="320" w:lineRule="exact"/>
    </w:pPr>
    <w:rPr>
      <w:rFonts w:asciiTheme="majorHAnsi" w:hAnsiTheme="majorHAnsi" w:cstheme="majorHAnsi"/>
      <w:sz w:val="29"/>
      <w:szCs w:val="29"/>
      <w:lang w:val="en-US"/>
    </w:rPr>
  </w:style>
  <w:style w:type="character" w:styleId="Platzhaltertext">
    <w:name w:val="Placeholder Text"/>
    <w:basedOn w:val="Absatz-Standardschriftart"/>
    <w:uiPriority w:val="99"/>
    <w:semiHidden/>
    <w:rsid w:val="00903B95"/>
    <w:rPr>
      <w:color w:val="808080"/>
    </w:rPr>
  </w:style>
  <w:style w:type="paragraph" w:customStyle="1" w:styleId="headline1">
    <w:name w:val="headline 1"/>
    <w:basedOn w:val="textregular"/>
    <w:uiPriority w:val="2"/>
    <w:qFormat/>
    <w:rsid w:val="00FF163C"/>
    <w:pPr>
      <w:spacing w:before="400" w:line="340" w:lineRule="exact"/>
      <w:jc w:val="center"/>
      <w:outlineLvl w:val="0"/>
    </w:pPr>
    <w:rPr>
      <w:rFonts w:ascii="Times New Roman" w:hAnsi="Times New Roman" w:cstheme="majorHAnsi"/>
      <w:b/>
      <w:color w:val="23236E" w:themeColor="text2"/>
      <w:sz w:val="24"/>
      <w:szCs w:val="28"/>
    </w:rPr>
  </w:style>
  <w:style w:type="numbering" w:customStyle="1" w:styleId="XXXList">
    <w:name w:val="XXX_List"/>
    <w:basedOn w:val="KeineListe"/>
    <w:uiPriority w:val="99"/>
    <w:rsid w:val="00D9486F"/>
    <w:pPr>
      <w:numPr>
        <w:numId w:val="1"/>
      </w:numPr>
    </w:pPr>
  </w:style>
  <w:style w:type="character" w:customStyle="1" w:styleId="berschrift1Zchn">
    <w:name w:val="Überschrift 1 Zchn"/>
    <w:basedOn w:val="Absatz-Standardschriftart"/>
    <w:link w:val="berschrift1"/>
    <w:uiPriority w:val="9"/>
    <w:rsid w:val="004B6993"/>
    <w:rPr>
      <w:rFonts w:asciiTheme="majorHAnsi" w:eastAsiaTheme="majorEastAsia" w:hAnsiTheme="majorHAnsi" w:cstheme="majorBidi"/>
      <w:b/>
      <w:bCs/>
      <w:color w:val="424477" w:themeColor="accent1" w:themeShade="BF"/>
      <w:sz w:val="28"/>
      <w:szCs w:val="28"/>
    </w:rPr>
  </w:style>
  <w:style w:type="paragraph" w:styleId="Verzeichnis1">
    <w:name w:val="toc 1"/>
    <w:basedOn w:val="Standard"/>
    <w:next w:val="Standard"/>
    <w:autoRedefine/>
    <w:uiPriority w:val="39"/>
    <w:unhideWhenUsed/>
    <w:rsid w:val="0099378F"/>
    <w:pPr>
      <w:spacing w:after="100"/>
    </w:pPr>
    <w:rPr>
      <w:rFonts w:asciiTheme="majorHAnsi" w:hAnsiTheme="majorHAnsi"/>
    </w:rPr>
  </w:style>
  <w:style w:type="paragraph" w:styleId="Inhaltsverzeichnisberschrift">
    <w:name w:val="TOC Heading"/>
    <w:basedOn w:val="berschrift1"/>
    <w:next w:val="Standard"/>
    <w:uiPriority w:val="39"/>
    <w:unhideWhenUsed/>
    <w:qFormat/>
    <w:rsid w:val="004B6993"/>
    <w:pPr>
      <w:spacing w:line="276" w:lineRule="auto"/>
      <w:outlineLvl w:val="9"/>
    </w:pPr>
  </w:style>
  <w:style w:type="character" w:styleId="Hyperlink">
    <w:name w:val="Hyperlink"/>
    <w:basedOn w:val="Absatz-Standardschriftart"/>
    <w:uiPriority w:val="99"/>
    <w:rsid w:val="0099378F"/>
    <w:rPr>
      <w:color w:val="0000FF" w:themeColor="hyperlink"/>
      <w:u w:val="single"/>
    </w:rPr>
  </w:style>
  <w:style w:type="paragraph" w:customStyle="1" w:styleId="decisionhead">
    <w:name w:val="decision head"/>
    <w:basedOn w:val="textregular"/>
    <w:uiPriority w:val="3"/>
    <w:qFormat/>
    <w:rsid w:val="00CD009F"/>
    <w:pPr>
      <w:pBdr>
        <w:top w:val="single" w:sz="24" w:space="1" w:color="B4B4C8" w:themeColor="accent4"/>
        <w:left w:val="single" w:sz="24" w:space="4" w:color="B4B4C8" w:themeColor="accent4"/>
        <w:bottom w:val="single" w:sz="24" w:space="1" w:color="B4B4C8" w:themeColor="accent4"/>
        <w:right w:val="single" w:sz="24" w:space="4" w:color="B4B4C8" w:themeColor="accent4"/>
      </w:pBdr>
      <w:shd w:val="clear" w:color="auto" w:fill="B4B4C8" w:themeFill="accent4"/>
      <w:spacing w:after="0" w:line="260" w:lineRule="exact"/>
      <w:ind w:left="170" w:right="170"/>
    </w:pPr>
    <w:rPr>
      <w:rFonts w:asciiTheme="majorHAnsi" w:hAnsiTheme="majorHAnsi" w:cstheme="majorHAnsi"/>
      <w:b/>
      <w:color w:val="23236E" w:themeColor="text2"/>
      <w:sz w:val="24"/>
      <w:szCs w:val="24"/>
    </w:rPr>
  </w:style>
  <w:style w:type="numbering" w:customStyle="1" w:styleId="XXXBulletList">
    <w:name w:val="XXX_Bullet List"/>
    <w:basedOn w:val="KeineListe"/>
    <w:uiPriority w:val="99"/>
    <w:rsid w:val="00590A19"/>
    <w:pPr>
      <w:numPr>
        <w:numId w:val="2"/>
      </w:numPr>
    </w:pPr>
  </w:style>
  <w:style w:type="paragraph" w:customStyle="1" w:styleId="decisionbullet1">
    <w:name w:val="decision bullet 1"/>
    <w:basedOn w:val="textregular"/>
    <w:uiPriority w:val="4"/>
    <w:qFormat/>
    <w:rsid w:val="00CD009F"/>
    <w:pPr>
      <w:numPr>
        <w:numId w:val="2"/>
      </w:numPr>
      <w:pBdr>
        <w:top w:val="single" w:sz="24" w:space="0" w:color="B4B4C8" w:themeColor="accent4"/>
        <w:left w:val="single" w:sz="24" w:space="4" w:color="B4B4C8" w:themeColor="accent4"/>
        <w:bottom w:val="single" w:sz="24" w:space="0" w:color="B4B4C8" w:themeColor="accent4"/>
        <w:right w:val="single" w:sz="24" w:space="4" w:color="B4B4C8" w:themeColor="accent4"/>
      </w:pBdr>
      <w:shd w:val="clear" w:color="auto" w:fill="B4B4C8" w:themeFill="accent4"/>
      <w:spacing w:after="0"/>
      <w:ind w:left="499" w:right="170"/>
    </w:pPr>
  </w:style>
  <w:style w:type="paragraph" w:customStyle="1" w:styleId="decisionbullet2">
    <w:name w:val="decision bullet 2"/>
    <w:basedOn w:val="textregular"/>
    <w:uiPriority w:val="4"/>
    <w:qFormat/>
    <w:rsid w:val="00B30D59"/>
    <w:pPr>
      <w:numPr>
        <w:ilvl w:val="1"/>
        <w:numId w:val="2"/>
      </w:numPr>
      <w:pBdr>
        <w:top w:val="single" w:sz="24" w:space="1" w:color="B4B4C8" w:themeColor="accent4"/>
        <w:left w:val="single" w:sz="24" w:space="21" w:color="B4B4C8" w:themeColor="accent4"/>
        <w:bottom w:val="single" w:sz="24" w:space="1" w:color="B4B4C8" w:themeColor="accent4"/>
        <w:right w:val="single" w:sz="24" w:space="4" w:color="B4B4C8" w:themeColor="accent4"/>
      </w:pBdr>
      <w:shd w:val="clear" w:color="auto" w:fill="B4B4C8" w:themeFill="accent4"/>
      <w:spacing w:after="0"/>
      <w:ind w:left="851" w:right="170" w:hanging="369"/>
    </w:pPr>
  </w:style>
  <w:style w:type="paragraph" w:customStyle="1" w:styleId="headline3">
    <w:name w:val="headline 3"/>
    <w:basedOn w:val="textregular"/>
    <w:uiPriority w:val="2"/>
    <w:qFormat/>
    <w:rsid w:val="000F693C"/>
    <w:pPr>
      <w:spacing w:after="20"/>
      <w:outlineLvl w:val="2"/>
    </w:pPr>
    <w:rPr>
      <w:b/>
    </w:rPr>
  </w:style>
  <w:style w:type="numbering" w:customStyle="1" w:styleId="XXXNummerierung">
    <w:name w:val="XXX_Nummerierung"/>
    <w:basedOn w:val="KeineListe"/>
    <w:uiPriority w:val="99"/>
    <w:rsid w:val="00E7480B"/>
    <w:pPr>
      <w:numPr>
        <w:numId w:val="3"/>
      </w:numPr>
    </w:pPr>
  </w:style>
  <w:style w:type="paragraph" w:customStyle="1" w:styleId="textenumeration">
    <w:name w:val="text enumeration"/>
    <w:basedOn w:val="textregular"/>
    <w:uiPriority w:val="4"/>
    <w:qFormat/>
    <w:rsid w:val="00150694"/>
    <w:pPr>
      <w:numPr>
        <w:numId w:val="3"/>
      </w:numPr>
      <w:contextualSpacing/>
      <w:jc w:val="both"/>
    </w:pPr>
  </w:style>
  <w:style w:type="paragraph" w:customStyle="1" w:styleId="headline2">
    <w:name w:val="headline 2"/>
    <w:basedOn w:val="textregular"/>
    <w:uiPriority w:val="2"/>
    <w:qFormat/>
    <w:rsid w:val="00C81366"/>
    <w:pPr>
      <w:keepNext/>
      <w:keepLines/>
      <w:spacing w:line="260" w:lineRule="exact"/>
      <w:jc w:val="center"/>
      <w:outlineLvl w:val="1"/>
    </w:pPr>
    <w:rPr>
      <w:rFonts w:ascii="Times New Roman" w:hAnsi="Times New Roman" w:cstheme="majorHAnsi"/>
      <w:b/>
      <w:color w:val="23236E" w:themeColor="text2"/>
      <w:sz w:val="24"/>
      <w:szCs w:val="24"/>
    </w:rPr>
  </w:style>
  <w:style w:type="numbering" w:customStyle="1" w:styleId="XXXtextbullets">
    <w:name w:val="XXX_text bullets"/>
    <w:basedOn w:val="KeineListe"/>
    <w:uiPriority w:val="99"/>
    <w:rsid w:val="000961F8"/>
    <w:pPr>
      <w:numPr>
        <w:numId w:val="4"/>
      </w:numPr>
    </w:pPr>
  </w:style>
  <w:style w:type="paragraph" w:customStyle="1" w:styleId="textbullets">
    <w:name w:val="text bullets"/>
    <w:basedOn w:val="textregular"/>
    <w:uiPriority w:val="5"/>
    <w:qFormat/>
    <w:rsid w:val="000961F8"/>
    <w:pPr>
      <w:numPr>
        <w:numId w:val="4"/>
      </w:numPr>
      <w:contextualSpacing/>
    </w:pPr>
  </w:style>
  <w:style w:type="table" w:customStyle="1" w:styleId="EntsoeeinfacheTabelle">
    <w:name w:val="Entsoe | einfache Tabelle"/>
    <w:basedOn w:val="NormaleTabelle"/>
    <w:uiPriority w:val="99"/>
    <w:qFormat/>
    <w:rsid w:val="00922A3D"/>
    <w:tblPr>
      <w:tblStyleRowBandSize w:val="1"/>
      <w:tblBorders>
        <w:insideV w:val="single" w:sz="12" w:space="0" w:color="FFFFFF" w:themeColor="background1"/>
      </w:tblBorders>
      <w:tblCellMar>
        <w:top w:w="28" w:type="dxa"/>
      </w:tblCellMar>
    </w:tblPr>
    <w:tblStylePr w:type="firstRow">
      <w:pPr>
        <w:wordWrap/>
        <w:spacing w:afterLines="0" w:afterAutospacing="0" w:line="340" w:lineRule="exact"/>
      </w:pPr>
      <w:rPr>
        <w:rFonts w:asciiTheme="majorHAnsi" w:hAnsiTheme="majorHAnsi"/>
        <w:b/>
        <w:color w:val="23236E" w:themeColor="text2"/>
        <w:sz w:val="28"/>
      </w:rPr>
    </w:tblStylePr>
    <w:tblStylePr w:type="band1Horz">
      <w:tblPr/>
      <w:tcPr>
        <w:shd w:val="clear" w:color="auto" w:fill="D9D9D9" w:themeFill="background1" w:themeFillShade="D9"/>
      </w:tcPr>
    </w:tblStylePr>
  </w:style>
  <w:style w:type="paragraph" w:customStyle="1" w:styleId="footnote1">
    <w:name w:val="footnote 1"/>
    <w:basedOn w:val="textregular"/>
    <w:uiPriority w:val="6"/>
    <w:qFormat/>
    <w:rsid w:val="007E6984"/>
    <w:pPr>
      <w:pBdr>
        <w:top w:val="single" w:sz="8" w:space="11" w:color="auto"/>
      </w:pBdr>
      <w:spacing w:after="0"/>
    </w:pPr>
    <w:rPr>
      <w:sz w:val="19"/>
    </w:rPr>
  </w:style>
  <w:style w:type="paragraph" w:customStyle="1" w:styleId="footnote2">
    <w:name w:val="footnote 2"/>
    <w:basedOn w:val="textregular"/>
    <w:uiPriority w:val="6"/>
    <w:qFormat/>
    <w:rsid w:val="007E6984"/>
    <w:pPr>
      <w:spacing w:after="0"/>
    </w:pPr>
    <w:rPr>
      <w:sz w:val="19"/>
    </w:rPr>
  </w:style>
  <w:style w:type="paragraph" w:styleId="Verzeichnis3">
    <w:name w:val="toc 3"/>
    <w:basedOn w:val="Standard"/>
    <w:next w:val="Standard"/>
    <w:autoRedefine/>
    <w:uiPriority w:val="39"/>
    <w:unhideWhenUsed/>
    <w:rsid w:val="000F693C"/>
    <w:pPr>
      <w:spacing w:after="100"/>
      <w:ind w:left="440"/>
    </w:pPr>
  </w:style>
  <w:style w:type="paragraph" w:styleId="Verzeichnis2">
    <w:name w:val="toc 2"/>
    <w:basedOn w:val="Standard"/>
    <w:next w:val="Standard"/>
    <w:autoRedefine/>
    <w:uiPriority w:val="39"/>
    <w:unhideWhenUsed/>
    <w:rsid w:val="000F693C"/>
    <w:pPr>
      <w:spacing w:after="100"/>
      <w:ind w:left="220"/>
    </w:pPr>
  </w:style>
  <w:style w:type="character" w:styleId="Kommentarzeichen">
    <w:name w:val="annotation reference"/>
    <w:aliases w:val="Stinking Styles6,Marque de commentaire1,Merknadsreferanse"/>
    <w:basedOn w:val="Absatz-Standardschriftart"/>
    <w:uiPriority w:val="99"/>
    <w:unhideWhenUsed/>
    <w:rsid w:val="00E377D1"/>
    <w:rPr>
      <w:sz w:val="16"/>
      <w:szCs w:val="16"/>
    </w:rPr>
  </w:style>
  <w:style w:type="paragraph" w:styleId="Kommentartext">
    <w:name w:val="annotation text"/>
    <w:aliases w:val="Stinking Styles5,Merknadstekst"/>
    <w:basedOn w:val="Standard"/>
    <w:link w:val="KommentartextZchn"/>
    <w:uiPriority w:val="99"/>
    <w:unhideWhenUsed/>
    <w:rsid w:val="00E377D1"/>
    <w:rPr>
      <w:sz w:val="20"/>
      <w:szCs w:val="20"/>
    </w:rPr>
  </w:style>
  <w:style w:type="character" w:customStyle="1" w:styleId="KommentartextZchn">
    <w:name w:val="Kommentartext Zchn"/>
    <w:aliases w:val="Stinking Styles5 Zchn,Merknadstekst Zchn"/>
    <w:basedOn w:val="Absatz-Standardschriftart"/>
    <w:link w:val="Kommentartext"/>
    <w:uiPriority w:val="99"/>
    <w:rsid w:val="00E377D1"/>
    <w:rPr>
      <w:sz w:val="20"/>
      <w:szCs w:val="20"/>
      <w:lang w:val="en-GB"/>
    </w:rPr>
  </w:style>
  <w:style w:type="paragraph" w:styleId="Titel">
    <w:name w:val="Title"/>
    <w:basedOn w:val="Standard"/>
    <w:next w:val="Standard"/>
    <w:link w:val="TitelZchn"/>
    <w:uiPriority w:val="10"/>
    <w:qFormat/>
    <w:rsid w:val="00E377D1"/>
    <w:pPr>
      <w:contextualSpacing/>
    </w:pPr>
    <w:rPr>
      <w:rFonts w:asciiTheme="majorHAnsi" w:eastAsiaTheme="majorEastAsia" w:hAnsiTheme="majorHAnsi" w:cstheme="majorBidi"/>
      <w:spacing w:val="-10"/>
      <w:kern w:val="28"/>
      <w:sz w:val="56"/>
      <w:szCs w:val="56"/>
      <w:lang w:val="fi-FI"/>
    </w:rPr>
  </w:style>
  <w:style w:type="character" w:customStyle="1" w:styleId="TitelZchn">
    <w:name w:val="Titel Zchn"/>
    <w:basedOn w:val="Absatz-Standardschriftart"/>
    <w:link w:val="Titel"/>
    <w:uiPriority w:val="10"/>
    <w:rsid w:val="00E377D1"/>
    <w:rPr>
      <w:rFonts w:asciiTheme="majorHAnsi" w:eastAsiaTheme="majorEastAsia" w:hAnsiTheme="majorHAnsi" w:cstheme="majorBidi"/>
      <w:spacing w:val="-10"/>
      <w:kern w:val="28"/>
      <w:sz w:val="56"/>
      <w:szCs w:val="56"/>
      <w:lang w:val="fi-FI"/>
    </w:rPr>
  </w:style>
  <w:style w:type="paragraph" w:styleId="Funotentext">
    <w:name w:val="footnote text"/>
    <w:basedOn w:val="Standard"/>
    <w:link w:val="FunotentextZchn"/>
    <w:uiPriority w:val="99"/>
    <w:unhideWhenUsed/>
    <w:rsid w:val="006A737C"/>
    <w:rPr>
      <w:sz w:val="20"/>
      <w:szCs w:val="20"/>
    </w:rPr>
  </w:style>
  <w:style w:type="character" w:customStyle="1" w:styleId="FunotentextZchn">
    <w:name w:val="Fußnotentext Zchn"/>
    <w:basedOn w:val="Absatz-Standardschriftart"/>
    <w:link w:val="Funotentext"/>
    <w:uiPriority w:val="99"/>
    <w:rsid w:val="006A737C"/>
    <w:rPr>
      <w:sz w:val="20"/>
      <w:szCs w:val="20"/>
      <w:lang w:val="en-GB"/>
    </w:rPr>
  </w:style>
  <w:style w:type="character" w:styleId="Funotenzeichen">
    <w:name w:val="footnote reference"/>
    <w:basedOn w:val="Absatz-Standardschriftart"/>
    <w:uiPriority w:val="99"/>
    <w:semiHidden/>
    <w:unhideWhenUsed/>
    <w:rsid w:val="006A737C"/>
    <w:rPr>
      <w:vertAlign w:val="superscript"/>
    </w:rPr>
  </w:style>
  <w:style w:type="paragraph" w:styleId="Kommentarthema">
    <w:name w:val="annotation subject"/>
    <w:basedOn w:val="Kommentartext"/>
    <w:next w:val="Kommentartext"/>
    <w:link w:val="KommentarthemaZchn"/>
    <w:uiPriority w:val="99"/>
    <w:semiHidden/>
    <w:unhideWhenUsed/>
    <w:rsid w:val="006A737C"/>
    <w:pPr>
      <w:spacing w:after="160"/>
    </w:pPr>
    <w:rPr>
      <w:b/>
      <w:bCs/>
      <w:lang w:val="fi-FI"/>
    </w:rPr>
  </w:style>
  <w:style w:type="character" w:customStyle="1" w:styleId="KommentarthemaZchn">
    <w:name w:val="Kommentarthema Zchn"/>
    <w:basedOn w:val="KommentartextZchn"/>
    <w:link w:val="Kommentarthema"/>
    <w:uiPriority w:val="99"/>
    <w:semiHidden/>
    <w:rsid w:val="006A737C"/>
    <w:rPr>
      <w:b/>
      <w:bCs/>
      <w:sz w:val="20"/>
      <w:szCs w:val="20"/>
      <w:lang w:val="fi-FI"/>
    </w:rPr>
  </w:style>
  <w:style w:type="character" w:customStyle="1" w:styleId="KommentintekstiChar">
    <w:name w:val="Kommentin teksti Char"/>
    <w:basedOn w:val="Absatz-Standardschriftart"/>
    <w:uiPriority w:val="99"/>
    <w:rsid w:val="006A737C"/>
    <w:rPr>
      <w:sz w:val="20"/>
      <w:szCs w:val="20"/>
    </w:rPr>
  </w:style>
  <w:style w:type="paragraph" w:styleId="Listenabsatz">
    <w:name w:val="List Paragraph"/>
    <w:basedOn w:val="Standard"/>
    <w:uiPriority w:val="34"/>
    <w:qFormat/>
    <w:rsid w:val="004038AE"/>
    <w:pPr>
      <w:spacing w:after="160" w:line="259" w:lineRule="auto"/>
      <w:ind w:left="720"/>
      <w:contextualSpacing/>
      <w:jc w:val="both"/>
    </w:pPr>
    <w:rPr>
      <w:lang w:val="fi-FI"/>
    </w:rPr>
  </w:style>
  <w:style w:type="paragraph" w:customStyle="1" w:styleId="Default">
    <w:name w:val="Default"/>
    <w:rsid w:val="006A737C"/>
    <w:pPr>
      <w:autoSpaceDE w:val="0"/>
      <w:autoSpaceDN w:val="0"/>
      <w:adjustRightInd w:val="0"/>
    </w:pPr>
    <w:rPr>
      <w:rFonts w:ascii="EUAlbertina" w:hAnsi="EUAlbertina" w:cs="EUAlbertina"/>
      <w:color w:val="000000"/>
      <w:sz w:val="24"/>
      <w:szCs w:val="24"/>
      <w:lang w:val="de-AT"/>
    </w:rPr>
  </w:style>
  <w:style w:type="character" w:customStyle="1" w:styleId="AlaviitteentekstiChar">
    <w:name w:val="Alaviitteen teksti Char"/>
    <w:basedOn w:val="Absatz-Standardschriftart"/>
    <w:uiPriority w:val="99"/>
    <w:semiHidden/>
    <w:rsid w:val="006A737C"/>
    <w:rPr>
      <w:sz w:val="20"/>
      <w:szCs w:val="20"/>
    </w:rPr>
  </w:style>
  <w:style w:type="character" w:customStyle="1" w:styleId="descriptionid1siteid2571">
    <w:name w:val="descriptionid1siteid2571"/>
    <w:basedOn w:val="Absatz-Standardschriftart"/>
    <w:rsid w:val="006A737C"/>
    <w:rPr>
      <w:rFonts w:ascii="Arial" w:hAnsi="Arial" w:cs="Arial" w:hint="default"/>
      <w:color w:val="666666"/>
      <w:sz w:val="18"/>
      <w:szCs w:val="18"/>
    </w:rPr>
  </w:style>
  <w:style w:type="paragraph" w:customStyle="1" w:styleId="Normln1">
    <w:name w:val="Normální1"/>
    <w:aliases w:val="ČEPS Arial"/>
    <w:basedOn w:val="Standard"/>
    <w:rsid w:val="006A737C"/>
    <w:rPr>
      <w:rFonts w:ascii="Calibri" w:hAnsi="Calibri" w:cs="Times New Roman"/>
      <w:lang w:val="pl-PL"/>
    </w:rPr>
  </w:style>
  <w:style w:type="character" w:styleId="BesuchterLink">
    <w:name w:val="FollowedHyperlink"/>
    <w:basedOn w:val="Absatz-Standardschriftart"/>
    <w:uiPriority w:val="99"/>
    <w:semiHidden/>
    <w:unhideWhenUsed/>
    <w:rsid w:val="006A737C"/>
    <w:rPr>
      <w:color w:val="800080" w:themeColor="followedHyperlink"/>
      <w:u w:val="single"/>
    </w:rPr>
  </w:style>
  <w:style w:type="paragraph" w:styleId="berarbeitung">
    <w:name w:val="Revision"/>
    <w:hidden/>
    <w:uiPriority w:val="99"/>
    <w:semiHidden/>
    <w:rsid w:val="006A737C"/>
    <w:rPr>
      <w:lang w:val="fi-FI"/>
    </w:rPr>
  </w:style>
  <w:style w:type="character" w:customStyle="1" w:styleId="textregularZchn">
    <w:name w:val="text regular Zchn"/>
    <w:basedOn w:val="Absatz-Standardschriftart"/>
    <w:link w:val="textregular"/>
    <w:locked/>
    <w:rsid w:val="00FA1C08"/>
    <w:rPr>
      <w:lang w:val="en-GB"/>
    </w:rPr>
  </w:style>
  <w:style w:type="character" w:customStyle="1" w:styleId="berschrift3Zchn">
    <w:name w:val="Überschrift 3 Zchn"/>
    <w:basedOn w:val="Absatz-Standardschriftart"/>
    <w:link w:val="berschrift3"/>
    <w:uiPriority w:val="9"/>
    <w:semiHidden/>
    <w:rsid w:val="0001595A"/>
    <w:rPr>
      <w:rFonts w:asciiTheme="majorHAnsi" w:eastAsiaTheme="majorEastAsia" w:hAnsiTheme="majorHAnsi" w:cstheme="majorBidi"/>
      <w:b/>
      <w:bCs/>
      <w:color w:val="585C9F" w:themeColor="accent1"/>
      <w:lang w:val="en-GB"/>
    </w:rPr>
  </w:style>
  <w:style w:type="character" w:customStyle="1" w:styleId="berschrift2Zchn">
    <w:name w:val="Überschrift 2 Zchn"/>
    <w:basedOn w:val="Absatz-Standardschriftart"/>
    <w:link w:val="berschrift2"/>
    <w:uiPriority w:val="99"/>
    <w:semiHidden/>
    <w:rsid w:val="0001595A"/>
    <w:rPr>
      <w:rFonts w:asciiTheme="majorHAnsi" w:eastAsiaTheme="majorEastAsia" w:hAnsiTheme="majorHAnsi" w:cstheme="majorBidi"/>
      <w:b/>
      <w:bCs/>
      <w:color w:val="585C9F" w:themeColor="accent1"/>
      <w:sz w:val="26"/>
      <w:szCs w:val="26"/>
      <w:lang w:val="en-GB"/>
    </w:rPr>
  </w:style>
  <w:style w:type="paragraph" w:customStyle="1" w:styleId="normal2">
    <w:name w:val="normal2"/>
    <w:basedOn w:val="Standard"/>
    <w:rsid w:val="00A4252C"/>
    <w:pPr>
      <w:spacing w:before="120" w:line="312" w:lineRule="atLeast"/>
      <w:jc w:val="both"/>
    </w:pPr>
    <w:rPr>
      <w:rFonts w:ascii="Times New Roman" w:eastAsia="Times New Roman" w:hAnsi="Times New Roman" w:cs="Times New Roman"/>
      <w:sz w:val="24"/>
      <w:szCs w:val="24"/>
      <w:lang w:val="sl-SI" w:eastAsia="sl-SI"/>
    </w:rPr>
  </w:style>
  <w:style w:type="table" w:customStyle="1" w:styleId="Tabelraster1">
    <w:name w:val="Tabelraster1"/>
    <w:basedOn w:val="NormaleTabelle"/>
    <w:uiPriority w:val="59"/>
    <w:rsid w:val="00282C07"/>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130051"/>
    <w:pPr>
      <w:spacing w:after="200"/>
    </w:pPr>
    <w:rPr>
      <w:b/>
      <w:bCs/>
      <w:color w:val="585C9F"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73724">
      <w:bodyDiv w:val="1"/>
      <w:marLeft w:val="0"/>
      <w:marRight w:val="0"/>
      <w:marTop w:val="0"/>
      <w:marBottom w:val="0"/>
      <w:divBdr>
        <w:top w:val="none" w:sz="0" w:space="0" w:color="auto"/>
        <w:left w:val="none" w:sz="0" w:space="0" w:color="auto"/>
        <w:bottom w:val="none" w:sz="0" w:space="0" w:color="auto"/>
        <w:right w:val="none" w:sz="0" w:space="0" w:color="auto"/>
      </w:divBdr>
      <w:divsChild>
        <w:div w:id="1796098313">
          <w:marLeft w:val="0"/>
          <w:marRight w:val="0"/>
          <w:marTop w:val="0"/>
          <w:marBottom w:val="0"/>
          <w:divBdr>
            <w:top w:val="none" w:sz="0" w:space="0" w:color="auto"/>
            <w:left w:val="none" w:sz="0" w:space="0" w:color="auto"/>
            <w:bottom w:val="none" w:sz="0" w:space="0" w:color="auto"/>
            <w:right w:val="none" w:sz="0" w:space="0" w:color="auto"/>
          </w:divBdr>
          <w:divsChild>
            <w:div w:id="1059785475">
              <w:marLeft w:val="0"/>
              <w:marRight w:val="0"/>
              <w:marTop w:val="0"/>
              <w:marBottom w:val="0"/>
              <w:divBdr>
                <w:top w:val="none" w:sz="0" w:space="0" w:color="auto"/>
                <w:left w:val="none" w:sz="0" w:space="0" w:color="auto"/>
                <w:bottom w:val="none" w:sz="0" w:space="0" w:color="auto"/>
                <w:right w:val="none" w:sz="0" w:space="0" w:color="auto"/>
              </w:divBdr>
              <w:divsChild>
                <w:div w:id="103382700">
                  <w:marLeft w:val="0"/>
                  <w:marRight w:val="0"/>
                  <w:marTop w:val="0"/>
                  <w:marBottom w:val="0"/>
                  <w:divBdr>
                    <w:top w:val="none" w:sz="0" w:space="0" w:color="auto"/>
                    <w:left w:val="none" w:sz="0" w:space="0" w:color="auto"/>
                    <w:bottom w:val="none" w:sz="0" w:space="0" w:color="auto"/>
                    <w:right w:val="none" w:sz="0" w:space="0" w:color="auto"/>
                  </w:divBdr>
                  <w:divsChild>
                    <w:div w:id="625815515">
                      <w:marLeft w:val="0"/>
                      <w:marRight w:val="0"/>
                      <w:marTop w:val="0"/>
                      <w:marBottom w:val="0"/>
                      <w:divBdr>
                        <w:top w:val="none" w:sz="0" w:space="0" w:color="auto"/>
                        <w:left w:val="none" w:sz="0" w:space="0" w:color="auto"/>
                        <w:bottom w:val="none" w:sz="0" w:space="0" w:color="auto"/>
                        <w:right w:val="none" w:sz="0" w:space="0" w:color="auto"/>
                      </w:divBdr>
                      <w:divsChild>
                        <w:div w:id="1836846218">
                          <w:marLeft w:val="0"/>
                          <w:marRight w:val="0"/>
                          <w:marTop w:val="0"/>
                          <w:marBottom w:val="0"/>
                          <w:divBdr>
                            <w:top w:val="none" w:sz="0" w:space="0" w:color="auto"/>
                            <w:left w:val="none" w:sz="0" w:space="0" w:color="auto"/>
                            <w:bottom w:val="none" w:sz="0" w:space="0" w:color="auto"/>
                            <w:right w:val="none" w:sz="0" w:space="0" w:color="auto"/>
                          </w:divBdr>
                          <w:divsChild>
                            <w:div w:id="533466960">
                              <w:marLeft w:val="0"/>
                              <w:marRight w:val="0"/>
                              <w:marTop w:val="0"/>
                              <w:marBottom w:val="0"/>
                              <w:divBdr>
                                <w:top w:val="none" w:sz="0" w:space="0" w:color="auto"/>
                                <w:left w:val="none" w:sz="0" w:space="0" w:color="auto"/>
                                <w:bottom w:val="none" w:sz="0" w:space="0" w:color="auto"/>
                                <w:right w:val="none" w:sz="0" w:space="0" w:color="auto"/>
                              </w:divBdr>
                              <w:divsChild>
                                <w:div w:id="1744915325">
                                  <w:marLeft w:val="0"/>
                                  <w:marRight w:val="0"/>
                                  <w:marTop w:val="0"/>
                                  <w:marBottom w:val="0"/>
                                  <w:divBdr>
                                    <w:top w:val="none" w:sz="0" w:space="0" w:color="auto"/>
                                    <w:left w:val="none" w:sz="0" w:space="0" w:color="auto"/>
                                    <w:bottom w:val="none" w:sz="0" w:space="0" w:color="auto"/>
                                    <w:right w:val="none" w:sz="0" w:space="0" w:color="auto"/>
                                  </w:divBdr>
                                  <w:divsChild>
                                    <w:div w:id="657535492">
                                      <w:marLeft w:val="0"/>
                                      <w:marRight w:val="0"/>
                                      <w:marTop w:val="0"/>
                                      <w:marBottom w:val="0"/>
                                      <w:divBdr>
                                        <w:top w:val="none" w:sz="0" w:space="0" w:color="auto"/>
                                        <w:left w:val="none" w:sz="0" w:space="0" w:color="auto"/>
                                        <w:bottom w:val="none" w:sz="0" w:space="0" w:color="auto"/>
                                        <w:right w:val="none" w:sz="0" w:space="0" w:color="auto"/>
                                      </w:divBdr>
                                      <w:divsChild>
                                        <w:div w:id="2054110420">
                                          <w:marLeft w:val="0"/>
                                          <w:marRight w:val="0"/>
                                          <w:marTop w:val="0"/>
                                          <w:marBottom w:val="0"/>
                                          <w:divBdr>
                                            <w:top w:val="none" w:sz="0" w:space="0" w:color="auto"/>
                                            <w:left w:val="none" w:sz="0" w:space="0" w:color="auto"/>
                                            <w:bottom w:val="none" w:sz="0" w:space="0" w:color="auto"/>
                                            <w:right w:val="none" w:sz="0" w:space="0" w:color="auto"/>
                                          </w:divBdr>
                                          <w:divsChild>
                                            <w:div w:id="1558660681">
                                              <w:marLeft w:val="0"/>
                                              <w:marRight w:val="0"/>
                                              <w:marTop w:val="0"/>
                                              <w:marBottom w:val="0"/>
                                              <w:divBdr>
                                                <w:top w:val="none" w:sz="0" w:space="0" w:color="auto"/>
                                                <w:left w:val="none" w:sz="0" w:space="0" w:color="auto"/>
                                                <w:bottom w:val="none" w:sz="0" w:space="0" w:color="auto"/>
                                                <w:right w:val="none" w:sz="0" w:space="0" w:color="auto"/>
                                              </w:divBdr>
                                              <w:divsChild>
                                                <w:div w:id="1330982911">
                                                  <w:marLeft w:val="0"/>
                                                  <w:marRight w:val="0"/>
                                                  <w:marTop w:val="0"/>
                                                  <w:marBottom w:val="0"/>
                                                  <w:divBdr>
                                                    <w:top w:val="none" w:sz="0" w:space="0" w:color="auto"/>
                                                    <w:left w:val="none" w:sz="0" w:space="0" w:color="auto"/>
                                                    <w:bottom w:val="none" w:sz="0" w:space="0" w:color="auto"/>
                                                    <w:right w:val="none" w:sz="0" w:space="0" w:color="auto"/>
                                                  </w:divBdr>
                                                  <w:divsChild>
                                                    <w:div w:id="1451242899">
                                                      <w:marLeft w:val="0"/>
                                                      <w:marRight w:val="0"/>
                                                      <w:marTop w:val="0"/>
                                                      <w:marBottom w:val="0"/>
                                                      <w:divBdr>
                                                        <w:top w:val="none" w:sz="0" w:space="0" w:color="auto"/>
                                                        <w:left w:val="none" w:sz="0" w:space="0" w:color="auto"/>
                                                        <w:bottom w:val="none" w:sz="0" w:space="0" w:color="auto"/>
                                                        <w:right w:val="none" w:sz="0" w:space="0" w:color="auto"/>
                                                      </w:divBdr>
                                                      <w:divsChild>
                                                        <w:div w:id="707418804">
                                                          <w:marLeft w:val="0"/>
                                                          <w:marRight w:val="0"/>
                                                          <w:marTop w:val="0"/>
                                                          <w:marBottom w:val="0"/>
                                                          <w:divBdr>
                                                            <w:top w:val="none" w:sz="0" w:space="0" w:color="auto"/>
                                                            <w:left w:val="none" w:sz="0" w:space="0" w:color="auto"/>
                                                            <w:bottom w:val="none" w:sz="0" w:space="0" w:color="auto"/>
                                                            <w:right w:val="none" w:sz="0" w:space="0" w:color="auto"/>
                                                          </w:divBdr>
                                                          <w:divsChild>
                                                            <w:div w:id="18332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142191">
      <w:bodyDiv w:val="1"/>
      <w:marLeft w:val="0"/>
      <w:marRight w:val="0"/>
      <w:marTop w:val="0"/>
      <w:marBottom w:val="0"/>
      <w:divBdr>
        <w:top w:val="none" w:sz="0" w:space="0" w:color="auto"/>
        <w:left w:val="none" w:sz="0" w:space="0" w:color="auto"/>
        <w:bottom w:val="none" w:sz="0" w:space="0" w:color="auto"/>
        <w:right w:val="none" w:sz="0" w:space="0" w:color="auto"/>
      </w:divBdr>
    </w:div>
    <w:div w:id="618488606">
      <w:bodyDiv w:val="1"/>
      <w:marLeft w:val="0"/>
      <w:marRight w:val="0"/>
      <w:marTop w:val="0"/>
      <w:marBottom w:val="0"/>
      <w:divBdr>
        <w:top w:val="none" w:sz="0" w:space="0" w:color="auto"/>
        <w:left w:val="none" w:sz="0" w:space="0" w:color="auto"/>
        <w:bottom w:val="none" w:sz="0" w:space="0" w:color="auto"/>
        <w:right w:val="none" w:sz="0" w:space="0" w:color="auto"/>
      </w:divBdr>
    </w:div>
    <w:div w:id="761298046">
      <w:bodyDiv w:val="1"/>
      <w:marLeft w:val="0"/>
      <w:marRight w:val="0"/>
      <w:marTop w:val="0"/>
      <w:marBottom w:val="0"/>
      <w:divBdr>
        <w:top w:val="none" w:sz="0" w:space="0" w:color="auto"/>
        <w:left w:val="none" w:sz="0" w:space="0" w:color="auto"/>
        <w:bottom w:val="none" w:sz="0" w:space="0" w:color="auto"/>
        <w:right w:val="none" w:sz="0" w:space="0" w:color="auto"/>
      </w:divBdr>
    </w:div>
    <w:div w:id="1011762976">
      <w:bodyDiv w:val="1"/>
      <w:marLeft w:val="0"/>
      <w:marRight w:val="0"/>
      <w:marTop w:val="0"/>
      <w:marBottom w:val="0"/>
      <w:divBdr>
        <w:top w:val="none" w:sz="0" w:space="0" w:color="auto"/>
        <w:left w:val="none" w:sz="0" w:space="0" w:color="auto"/>
        <w:bottom w:val="none" w:sz="0" w:space="0" w:color="auto"/>
        <w:right w:val="none" w:sz="0" w:space="0" w:color="auto"/>
      </w:divBdr>
    </w:div>
    <w:div w:id="1019501149">
      <w:bodyDiv w:val="1"/>
      <w:marLeft w:val="0"/>
      <w:marRight w:val="0"/>
      <w:marTop w:val="0"/>
      <w:marBottom w:val="0"/>
      <w:divBdr>
        <w:top w:val="none" w:sz="0" w:space="0" w:color="auto"/>
        <w:left w:val="none" w:sz="0" w:space="0" w:color="auto"/>
        <w:bottom w:val="none" w:sz="0" w:space="0" w:color="auto"/>
        <w:right w:val="none" w:sz="0" w:space="0" w:color="auto"/>
      </w:divBdr>
    </w:div>
    <w:div w:id="1065643764">
      <w:bodyDiv w:val="1"/>
      <w:marLeft w:val="0"/>
      <w:marRight w:val="0"/>
      <w:marTop w:val="0"/>
      <w:marBottom w:val="0"/>
      <w:divBdr>
        <w:top w:val="none" w:sz="0" w:space="0" w:color="auto"/>
        <w:left w:val="none" w:sz="0" w:space="0" w:color="auto"/>
        <w:bottom w:val="none" w:sz="0" w:space="0" w:color="auto"/>
        <w:right w:val="none" w:sz="0" w:space="0" w:color="auto"/>
      </w:divBdr>
    </w:div>
    <w:div w:id="1133911758">
      <w:bodyDiv w:val="1"/>
      <w:marLeft w:val="0"/>
      <w:marRight w:val="0"/>
      <w:marTop w:val="0"/>
      <w:marBottom w:val="0"/>
      <w:divBdr>
        <w:top w:val="none" w:sz="0" w:space="0" w:color="auto"/>
        <w:left w:val="none" w:sz="0" w:space="0" w:color="auto"/>
        <w:bottom w:val="none" w:sz="0" w:space="0" w:color="auto"/>
        <w:right w:val="none" w:sz="0" w:space="0" w:color="auto"/>
      </w:divBdr>
    </w:div>
    <w:div w:id="1170565438">
      <w:bodyDiv w:val="1"/>
      <w:marLeft w:val="0"/>
      <w:marRight w:val="0"/>
      <w:marTop w:val="0"/>
      <w:marBottom w:val="0"/>
      <w:divBdr>
        <w:top w:val="none" w:sz="0" w:space="0" w:color="auto"/>
        <w:left w:val="none" w:sz="0" w:space="0" w:color="auto"/>
        <w:bottom w:val="none" w:sz="0" w:space="0" w:color="auto"/>
        <w:right w:val="none" w:sz="0" w:space="0" w:color="auto"/>
      </w:divBdr>
    </w:div>
    <w:div w:id="1293751076">
      <w:bodyDiv w:val="1"/>
      <w:marLeft w:val="0"/>
      <w:marRight w:val="0"/>
      <w:marTop w:val="0"/>
      <w:marBottom w:val="0"/>
      <w:divBdr>
        <w:top w:val="none" w:sz="0" w:space="0" w:color="auto"/>
        <w:left w:val="none" w:sz="0" w:space="0" w:color="auto"/>
        <w:bottom w:val="none" w:sz="0" w:space="0" w:color="auto"/>
        <w:right w:val="none" w:sz="0" w:space="0" w:color="auto"/>
      </w:divBdr>
      <w:divsChild>
        <w:div w:id="1602253360">
          <w:marLeft w:val="0"/>
          <w:marRight w:val="0"/>
          <w:marTop w:val="0"/>
          <w:marBottom w:val="0"/>
          <w:divBdr>
            <w:top w:val="none" w:sz="0" w:space="0" w:color="auto"/>
            <w:left w:val="none" w:sz="0" w:space="0" w:color="auto"/>
            <w:bottom w:val="none" w:sz="0" w:space="0" w:color="auto"/>
            <w:right w:val="none" w:sz="0" w:space="0" w:color="auto"/>
          </w:divBdr>
          <w:divsChild>
            <w:div w:id="423303429">
              <w:marLeft w:val="0"/>
              <w:marRight w:val="0"/>
              <w:marTop w:val="0"/>
              <w:marBottom w:val="0"/>
              <w:divBdr>
                <w:top w:val="none" w:sz="0" w:space="0" w:color="auto"/>
                <w:left w:val="none" w:sz="0" w:space="0" w:color="auto"/>
                <w:bottom w:val="none" w:sz="0" w:space="0" w:color="auto"/>
                <w:right w:val="none" w:sz="0" w:space="0" w:color="auto"/>
              </w:divBdr>
              <w:divsChild>
                <w:div w:id="1884830932">
                  <w:marLeft w:val="0"/>
                  <w:marRight w:val="0"/>
                  <w:marTop w:val="0"/>
                  <w:marBottom w:val="0"/>
                  <w:divBdr>
                    <w:top w:val="none" w:sz="0" w:space="0" w:color="auto"/>
                    <w:left w:val="none" w:sz="0" w:space="0" w:color="auto"/>
                    <w:bottom w:val="none" w:sz="0" w:space="0" w:color="auto"/>
                    <w:right w:val="none" w:sz="0" w:space="0" w:color="auto"/>
                  </w:divBdr>
                  <w:divsChild>
                    <w:div w:id="109707924">
                      <w:marLeft w:val="1"/>
                      <w:marRight w:val="1"/>
                      <w:marTop w:val="0"/>
                      <w:marBottom w:val="0"/>
                      <w:divBdr>
                        <w:top w:val="none" w:sz="0" w:space="0" w:color="auto"/>
                        <w:left w:val="none" w:sz="0" w:space="0" w:color="auto"/>
                        <w:bottom w:val="none" w:sz="0" w:space="0" w:color="auto"/>
                        <w:right w:val="none" w:sz="0" w:space="0" w:color="auto"/>
                      </w:divBdr>
                      <w:divsChild>
                        <w:div w:id="500004075">
                          <w:marLeft w:val="0"/>
                          <w:marRight w:val="0"/>
                          <w:marTop w:val="0"/>
                          <w:marBottom w:val="0"/>
                          <w:divBdr>
                            <w:top w:val="none" w:sz="0" w:space="0" w:color="auto"/>
                            <w:left w:val="none" w:sz="0" w:space="0" w:color="auto"/>
                            <w:bottom w:val="none" w:sz="0" w:space="0" w:color="auto"/>
                            <w:right w:val="none" w:sz="0" w:space="0" w:color="auto"/>
                          </w:divBdr>
                          <w:divsChild>
                            <w:div w:id="1785072491">
                              <w:marLeft w:val="0"/>
                              <w:marRight w:val="0"/>
                              <w:marTop w:val="0"/>
                              <w:marBottom w:val="360"/>
                              <w:divBdr>
                                <w:top w:val="none" w:sz="0" w:space="0" w:color="auto"/>
                                <w:left w:val="none" w:sz="0" w:space="0" w:color="auto"/>
                                <w:bottom w:val="none" w:sz="0" w:space="0" w:color="auto"/>
                                <w:right w:val="none" w:sz="0" w:space="0" w:color="auto"/>
                              </w:divBdr>
                              <w:divsChild>
                                <w:div w:id="704332284">
                                  <w:marLeft w:val="0"/>
                                  <w:marRight w:val="0"/>
                                  <w:marTop w:val="0"/>
                                  <w:marBottom w:val="0"/>
                                  <w:divBdr>
                                    <w:top w:val="none" w:sz="0" w:space="0" w:color="auto"/>
                                    <w:left w:val="none" w:sz="0" w:space="0" w:color="auto"/>
                                    <w:bottom w:val="none" w:sz="0" w:space="0" w:color="auto"/>
                                    <w:right w:val="none" w:sz="0" w:space="0" w:color="auto"/>
                                  </w:divBdr>
                                  <w:divsChild>
                                    <w:div w:id="624775755">
                                      <w:marLeft w:val="0"/>
                                      <w:marRight w:val="0"/>
                                      <w:marTop w:val="0"/>
                                      <w:marBottom w:val="0"/>
                                      <w:divBdr>
                                        <w:top w:val="none" w:sz="0" w:space="0" w:color="auto"/>
                                        <w:left w:val="none" w:sz="0" w:space="0" w:color="auto"/>
                                        <w:bottom w:val="none" w:sz="0" w:space="0" w:color="auto"/>
                                        <w:right w:val="none" w:sz="0" w:space="0" w:color="auto"/>
                                      </w:divBdr>
                                      <w:divsChild>
                                        <w:div w:id="1765956071">
                                          <w:marLeft w:val="0"/>
                                          <w:marRight w:val="0"/>
                                          <w:marTop w:val="0"/>
                                          <w:marBottom w:val="0"/>
                                          <w:divBdr>
                                            <w:top w:val="none" w:sz="0" w:space="0" w:color="auto"/>
                                            <w:left w:val="none" w:sz="0" w:space="0" w:color="auto"/>
                                            <w:bottom w:val="none" w:sz="0" w:space="0" w:color="auto"/>
                                            <w:right w:val="none" w:sz="0" w:space="0" w:color="auto"/>
                                          </w:divBdr>
                                          <w:divsChild>
                                            <w:div w:id="159926537">
                                              <w:marLeft w:val="0"/>
                                              <w:marRight w:val="0"/>
                                              <w:marTop w:val="0"/>
                                              <w:marBottom w:val="0"/>
                                              <w:divBdr>
                                                <w:top w:val="none" w:sz="0" w:space="0" w:color="auto"/>
                                                <w:left w:val="none" w:sz="0" w:space="0" w:color="auto"/>
                                                <w:bottom w:val="none" w:sz="0" w:space="0" w:color="auto"/>
                                                <w:right w:val="none" w:sz="0" w:space="0" w:color="auto"/>
                                              </w:divBdr>
                                              <w:divsChild>
                                                <w:div w:id="143065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0781917">
      <w:bodyDiv w:val="1"/>
      <w:marLeft w:val="0"/>
      <w:marRight w:val="0"/>
      <w:marTop w:val="0"/>
      <w:marBottom w:val="0"/>
      <w:divBdr>
        <w:top w:val="none" w:sz="0" w:space="0" w:color="auto"/>
        <w:left w:val="none" w:sz="0" w:space="0" w:color="auto"/>
        <w:bottom w:val="none" w:sz="0" w:space="0" w:color="auto"/>
        <w:right w:val="none" w:sz="0" w:space="0" w:color="auto"/>
      </w:divBdr>
    </w:div>
    <w:div w:id="1487933373">
      <w:bodyDiv w:val="1"/>
      <w:marLeft w:val="0"/>
      <w:marRight w:val="0"/>
      <w:marTop w:val="0"/>
      <w:marBottom w:val="0"/>
      <w:divBdr>
        <w:top w:val="none" w:sz="0" w:space="0" w:color="auto"/>
        <w:left w:val="none" w:sz="0" w:space="0" w:color="auto"/>
        <w:bottom w:val="none" w:sz="0" w:space="0" w:color="auto"/>
        <w:right w:val="none" w:sz="0" w:space="0" w:color="auto"/>
      </w:divBdr>
    </w:div>
    <w:div w:id="1535650356">
      <w:bodyDiv w:val="1"/>
      <w:marLeft w:val="0"/>
      <w:marRight w:val="0"/>
      <w:marTop w:val="0"/>
      <w:marBottom w:val="0"/>
      <w:divBdr>
        <w:top w:val="none" w:sz="0" w:space="0" w:color="auto"/>
        <w:left w:val="none" w:sz="0" w:space="0" w:color="auto"/>
        <w:bottom w:val="none" w:sz="0" w:space="0" w:color="auto"/>
        <w:right w:val="none" w:sz="0" w:space="0" w:color="auto"/>
      </w:divBdr>
    </w:div>
    <w:div w:id="1610694537">
      <w:bodyDiv w:val="1"/>
      <w:marLeft w:val="0"/>
      <w:marRight w:val="0"/>
      <w:marTop w:val="0"/>
      <w:marBottom w:val="0"/>
      <w:divBdr>
        <w:top w:val="none" w:sz="0" w:space="0" w:color="auto"/>
        <w:left w:val="none" w:sz="0" w:space="0" w:color="auto"/>
        <w:bottom w:val="none" w:sz="0" w:space="0" w:color="auto"/>
        <w:right w:val="none" w:sz="0" w:space="0" w:color="auto"/>
      </w:divBdr>
    </w:div>
    <w:div w:id="1627152331">
      <w:bodyDiv w:val="1"/>
      <w:marLeft w:val="0"/>
      <w:marRight w:val="0"/>
      <w:marTop w:val="0"/>
      <w:marBottom w:val="0"/>
      <w:divBdr>
        <w:top w:val="none" w:sz="0" w:space="0" w:color="auto"/>
        <w:left w:val="none" w:sz="0" w:space="0" w:color="auto"/>
        <w:bottom w:val="none" w:sz="0" w:space="0" w:color="auto"/>
        <w:right w:val="none" w:sz="0" w:space="0" w:color="auto"/>
      </w:divBdr>
    </w:div>
    <w:div w:id="1636523243">
      <w:bodyDiv w:val="1"/>
      <w:marLeft w:val="0"/>
      <w:marRight w:val="0"/>
      <w:marTop w:val="0"/>
      <w:marBottom w:val="0"/>
      <w:divBdr>
        <w:top w:val="none" w:sz="0" w:space="0" w:color="auto"/>
        <w:left w:val="none" w:sz="0" w:space="0" w:color="auto"/>
        <w:bottom w:val="none" w:sz="0" w:space="0" w:color="auto"/>
        <w:right w:val="none" w:sz="0" w:space="0" w:color="auto"/>
      </w:divBdr>
    </w:div>
    <w:div w:id="1657612940">
      <w:bodyDiv w:val="1"/>
      <w:marLeft w:val="0"/>
      <w:marRight w:val="0"/>
      <w:marTop w:val="0"/>
      <w:marBottom w:val="0"/>
      <w:divBdr>
        <w:top w:val="none" w:sz="0" w:space="0" w:color="auto"/>
        <w:left w:val="none" w:sz="0" w:space="0" w:color="auto"/>
        <w:bottom w:val="none" w:sz="0" w:space="0" w:color="auto"/>
        <w:right w:val="none" w:sz="0" w:space="0" w:color="auto"/>
      </w:divBdr>
    </w:div>
    <w:div w:id="1745567611">
      <w:bodyDiv w:val="1"/>
      <w:marLeft w:val="0"/>
      <w:marRight w:val="0"/>
      <w:marTop w:val="0"/>
      <w:marBottom w:val="0"/>
      <w:divBdr>
        <w:top w:val="none" w:sz="0" w:space="0" w:color="auto"/>
        <w:left w:val="none" w:sz="0" w:space="0" w:color="auto"/>
        <w:bottom w:val="none" w:sz="0" w:space="0" w:color="auto"/>
        <w:right w:val="none" w:sz="0" w:space="0" w:color="auto"/>
      </w:divBdr>
    </w:div>
    <w:div w:id="1756903032">
      <w:bodyDiv w:val="1"/>
      <w:marLeft w:val="0"/>
      <w:marRight w:val="0"/>
      <w:marTop w:val="0"/>
      <w:marBottom w:val="0"/>
      <w:divBdr>
        <w:top w:val="none" w:sz="0" w:space="0" w:color="auto"/>
        <w:left w:val="none" w:sz="0" w:space="0" w:color="auto"/>
        <w:bottom w:val="none" w:sz="0" w:space="0" w:color="auto"/>
        <w:right w:val="none" w:sz="0" w:space="0" w:color="auto"/>
      </w:divBdr>
    </w:div>
    <w:div w:id="1876384931">
      <w:bodyDiv w:val="1"/>
      <w:marLeft w:val="0"/>
      <w:marRight w:val="0"/>
      <w:marTop w:val="0"/>
      <w:marBottom w:val="0"/>
      <w:divBdr>
        <w:top w:val="none" w:sz="0" w:space="0" w:color="auto"/>
        <w:left w:val="none" w:sz="0" w:space="0" w:color="auto"/>
        <w:bottom w:val="none" w:sz="0" w:space="0" w:color="auto"/>
        <w:right w:val="none" w:sz="0" w:space="0" w:color="auto"/>
      </w:divBdr>
    </w:div>
    <w:div w:id="1877304833">
      <w:bodyDiv w:val="1"/>
      <w:marLeft w:val="0"/>
      <w:marRight w:val="0"/>
      <w:marTop w:val="0"/>
      <w:marBottom w:val="0"/>
      <w:divBdr>
        <w:top w:val="none" w:sz="0" w:space="0" w:color="auto"/>
        <w:left w:val="none" w:sz="0" w:space="0" w:color="auto"/>
        <w:bottom w:val="none" w:sz="0" w:space="0" w:color="auto"/>
        <w:right w:val="none" w:sz="0" w:space="0" w:color="auto"/>
      </w:divBdr>
    </w:div>
    <w:div w:id="1888569980">
      <w:bodyDiv w:val="1"/>
      <w:marLeft w:val="0"/>
      <w:marRight w:val="0"/>
      <w:marTop w:val="0"/>
      <w:marBottom w:val="0"/>
      <w:divBdr>
        <w:top w:val="none" w:sz="0" w:space="0" w:color="auto"/>
        <w:left w:val="none" w:sz="0" w:space="0" w:color="auto"/>
        <w:bottom w:val="none" w:sz="0" w:space="0" w:color="auto"/>
        <w:right w:val="none" w:sz="0" w:space="0" w:color="auto"/>
      </w:divBdr>
    </w:div>
    <w:div w:id="2033068263">
      <w:bodyDiv w:val="1"/>
      <w:marLeft w:val="0"/>
      <w:marRight w:val="0"/>
      <w:marTop w:val="0"/>
      <w:marBottom w:val="0"/>
      <w:divBdr>
        <w:top w:val="none" w:sz="0" w:space="0" w:color="auto"/>
        <w:left w:val="none" w:sz="0" w:space="0" w:color="auto"/>
        <w:bottom w:val="none" w:sz="0" w:space="0" w:color="auto"/>
        <w:right w:val="none" w:sz="0" w:space="0" w:color="auto"/>
      </w:divBdr>
    </w:div>
    <w:div w:id="207258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Company\Users\vveramyeva\AppData\Roaming\Microsoft\Templates\ENTSOE\140121_ENTSO-E_Template_Report_no%20LSP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2177B848EC4D8DAAF49E065A155815"/>
        <w:category>
          <w:name w:val="General"/>
          <w:gallery w:val="placeholder"/>
        </w:category>
        <w:types>
          <w:type w:val="bbPlcHdr"/>
        </w:types>
        <w:behaviors>
          <w:behavior w:val="content"/>
        </w:behaviors>
        <w:guid w:val="{C939558C-28CB-4FF5-AA96-886B91BCB2B4}"/>
      </w:docPartPr>
      <w:docPartBody>
        <w:p w:rsidR="00544909" w:rsidRDefault="00061F71" w:rsidP="00061F71">
          <w:pPr>
            <w:pStyle w:val="DD2177B848EC4D8DAAF49E065A155815"/>
          </w:pPr>
          <w:r w:rsidRPr="000C30E5">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2"/>
  </w:compat>
  <w:rsids>
    <w:rsidRoot w:val="000C1702"/>
    <w:rsid w:val="000255D5"/>
    <w:rsid w:val="000274FB"/>
    <w:rsid w:val="00061F71"/>
    <w:rsid w:val="000A06FB"/>
    <w:rsid w:val="000C1702"/>
    <w:rsid w:val="000D6218"/>
    <w:rsid w:val="0012119C"/>
    <w:rsid w:val="00146659"/>
    <w:rsid w:val="00157173"/>
    <w:rsid w:val="001761B0"/>
    <w:rsid w:val="0019287A"/>
    <w:rsid w:val="001A2DBB"/>
    <w:rsid w:val="00271092"/>
    <w:rsid w:val="002B581C"/>
    <w:rsid w:val="002F769D"/>
    <w:rsid w:val="003001DF"/>
    <w:rsid w:val="003043A7"/>
    <w:rsid w:val="00353B7E"/>
    <w:rsid w:val="0037162F"/>
    <w:rsid w:val="003A556C"/>
    <w:rsid w:val="003C37C3"/>
    <w:rsid w:val="003F6B57"/>
    <w:rsid w:val="00476B5C"/>
    <w:rsid w:val="00495AFD"/>
    <w:rsid w:val="005037C8"/>
    <w:rsid w:val="005428DA"/>
    <w:rsid w:val="00544909"/>
    <w:rsid w:val="005630F1"/>
    <w:rsid w:val="005B2481"/>
    <w:rsid w:val="005D66E1"/>
    <w:rsid w:val="005E464A"/>
    <w:rsid w:val="00621A92"/>
    <w:rsid w:val="0065447C"/>
    <w:rsid w:val="0065619D"/>
    <w:rsid w:val="00657CA0"/>
    <w:rsid w:val="0066304A"/>
    <w:rsid w:val="00683757"/>
    <w:rsid w:val="0068383A"/>
    <w:rsid w:val="0071521F"/>
    <w:rsid w:val="00760CC4"/>
    <w:rsid w:val="007C202E"/>
    <w:rsid w:val="007F7CEE"/>
    <w:rsid w:val="008003CE"/>
    <w:rsid w:val="0081175F"/>
    <w:rsid w:val="00847967"/>
    <w:rsid w:val="008511D8"/>
    <w:rsid w:val="00861279"/>
    <w:rsid w:val="00861F6D"/>
    <w:rsid w:val="00935465"/>
    <w:rsid w:val="009936C7"/>
    <w:rsid w:val="00A1347B"/>
    <w:rsid w:val="00A5635D"/>
    <w:rsid w:val="00B11F10"/>
    <w:rsid w:val="00B33BFD"/>
    <w:rsid w:val="00B51CCE"/>
    <w:rsid w:val="00B53701"/>
    <w:rsid w:val="00BC3453"/>
    <w:rsid w:val="00CC39C4"/>
    <w:rsid w:val="00CD3C09"/>
    <w:rsid w:val="00CF3B6D"/>
    <w:rsid w:val="00D41E98"/>
    <w:rsid w:val="00D47262"/>
    <w:rsid w:val="00D62CB8"/>
    <w:rsid w:val="00D9764E"/>
    <w:rsid w:val="00DD2100"/>
    <w:rsid w:val="00E44FE5"/>
    <w:rsid w:val="00EE6FD7"/>
    <w:rsid w:val="00F0401F"/>
    <w:rsid w:val="00F4137D"/>
    <w:rsid w:val="00F52621"/>
    <w:rsid w:val="00F673CA"/>
    <w:rsid w:val="00F73DC9"/>
    <w:rsid w:val="00F76B0B"/>
    <w:rsid w:val="00F852E4"/>
    <w:rsid w:val="00FB0DF5"/>
    <w:rsid w:val="00FB3EC8"/>
    <w:rsid w:val="00FC088D"/>
    <w:rsid w:val="00FC61C3"/>
    <w:rsid w:val="00FF1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10091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C202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5635D"/>
    <w:rPr>
      <w:color w:val="808080"/>
    </w:rPr>
  </w:style>
  <w:style w:type="paragraph" w:customStyle="1" w:styleId="CDFDBB588FF544A2BE4B07EF265F4079">
    <w:name w:val="CDFDBB588FF544A2BE4B07EF265F4079"/>
    <w:rsid w:val="007C202E"/>
  </w:style>
  <w:style w:type="paragraph" w:customStyle="1" w:styleId="E4808C9FD07C476C8EEE44B0023B0EA1">
    <w:name w:val="E4808C9FD07C476C8EEE44B0023B0EA1"/>
    <w:rsid w:val="007C202E"/>
  </w:style>
  <w:style w:type="paragraph" w:customStyle="1" w:styleId="6A213B2B9CDA4A7D9AD80267A67DE97B">
    <w:name w:val="6A213B2B9CDA4A7D9AD80267A67DE97B"/>
    <w:rsid w:val="00861F6D"/>
  </w:style>
  <w:style w:type="paragraph" w:customStyle="1" w:styleId="C3E2D64D79544F05964D1032302263CA">
    <w:name w:val="C3E2D64D79544F05964D1032302263CA"/>
    <w:rsid w:val="00861F6D"/>
  </w:style>
  <w:style w:type="paragraph" w:customStyle="1" w:styleId="61DE4AE60CCB44C898F9278ADA225A7F">
    <w:name w:val="61DE4AE60CCB44C898F9278ADA225A7F"/>
    <w:rsid w:val="00861F6D"/>
  </w:style>
  <w:style w:type="paragraph" w:customStyle="1" w:styleId="3761179C89C24EE3A2D6537CA53132F6">
    <w:name w:val="3761179C89C24EE3A2D6537CA53132F6"/>
    <w:rsid w:val="00061F71"/>
  </w:style>
  <w:style w:type="paragraph" w:customStyle="1" w:styleId="DD2177B848EC4D8DAAF49E065A155815">
    <w:name w:val="DD2177B848EC4D8DAAF49E065A155815"/>
    <w:rsid w:val="00061F71"/>
  </w:style>
  <w:style w:type="paragraph" w:customStyle="1" w:styleId="078E53168CDE41F6A0E1054BFA46CD8A">
    <w:name w:val="078E53168CDE41F6A0E1054BFA46CD8A"/>
    <w:rsid w:val="00061F71"/>
  </w:style>
  <w:style w:type="paragraph" w:customStyle="1" w:styleId="0C65DDC7C16B4CCAA6E295AFF143C8E6">
    <w:name w:val="0C65DDC7C16B4CCAA6E295AFF143C8E6"/>
    <w:rsid w:val="00061F71"/>
  </w:style>
  <w:style w:type="paragraph" w:customStyle="1" w:styleId="8D66B65E35A64BB0ABD472EC4CE370F3">
    <w:name w:val="8D66B65E35A64BB0ABD472EC4CE370F3"/>
    <w:rsid w:val="00A563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Entsoe">
      <a:dk1>
        <a:sysClr val="windowText" lastClr="000000"/>
      </a:dk1>
      <a:lt1>
        <a:sysClr val="window" lastClr="FFFFFF"/>
      </a:lt1>
      <a:dk2>
        <a:srgbClr val="23236E"/>
      </a:dk2>
      <a:lt2>
        <a:srgbClr val="636466"/>
      </a:lt2>
      <a:accent1>
        <a:srgbClr val="585C9F"/>
      </a:accent1>
      <a:accent2>
        <a:srgbClr val="797BB7"/>
      </a:accent2>
      <a:accent3>
        <a:srgbClr val="7F5A9B"/>
      </a:accent3>
      <a:accent4>
        <a:srgbClr val="B4B4C8"/>
      </a:accent4>
      <a:accent5>
        <a:srgbClr val="487BB4"/>
      </a:accent5>
      <a:accent6>
        <a:srgbClr val="9EBF57"/>
      </a:accent6>
      <a:hlink>
        <a:srgbClr val="0000FF"/>
      </a:hlink>
      <a:folHlink>
        <a:srgbClr val="800080"/>
      </a:folHlink>
    </a:clrScheme>
    <a:fontScheme name="Entsoe">
      <a:majorFont>
        <a:latin typeface="Arial"/>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8298d5bb-b52c-47fa-a0d1-ee44348ffb32" xsi:nil="true"/>
    <SAFA_x0020_document xmlns="8298d5bb-b52c-47fa-a0d1-ee44348ffb32">External - Annex 03-A2 - Policy on AS - EBGL_A51.1_FSkar_methodology_CCU</SAFA_x0020_document>
    <Type_x0020_of_x0020_document xmlns="8298d5bb-b52c-47fa-a0d1-ee44348ffb32" xsi:nil="true"/>
    <Date_x0020_EiF xmlns="8298d5bb-b52c-47fa-a0d1-ee44348ffb32" xsi:nil="true"/>
    <End_x0020_date xmlns="8298d5bb-b52c-47fa-a0d1-ee44348ffb32">Current version</End_x0020_date>
    <Start_x0020_date xmlns="8298d5bb-b52c-47fa-a0d1-ee44348ffb32">200407</Start_x0020_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EBA69E73190544A0E81B8C048425D4" ma:contentTypeVersion="6" ma:contentTypeDescription="Create a new document." ma:contentTypeScope="" ma:versionID="ace00b6ce71396f25152a96b692b1b49">
  <xsd:schema xmlns:xsd="http://www.w3.org/2001/XMLSchema" xmlns:xs="http://www.w3.org/2001/XMLSchema" xmlns:p="http://schemas.microsoft.com/office/2006/metadata/properties" xmlns:ns2="8298d5bb-b52c-47fa-a0d1-ee44348ffb32" targetNamespace="http://schemas.microsoft.com/office/2006/metadata/properties" ma:root="true" ma:fieldsID="6ddc2cd17d0bd7d0c44ff13107ebb1f4" ns2:_="">
    <xsd:import namespace="8298d5bb-b52c-47fa-a0d1-ee44348ffb32"/>
    <xsd:element name="properties">
      <xsd:complexType>
        <xsd:sequence>
          <xsd:element name="documentManagement">
            <xsd:complexType>
              <xsd:all>
                <xsd:element ref="ns2:SAFA_x0020_document"/>
                <xsd:element ref="ns2:Date_x0020_EiF" minOccurs="0"/>
                <xsd:element ref="ns2:Status" minOccurs="0"/>
                <xsd:element ref="ns2:Type_x0020_of_x0020_document" minOccurs="0"/>
                <xsd:element ref="ns2:Start_x0020_date"/>
                <xsd:element ref="ns2:End_x0020_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98d5bb-b52c-47fa-a0d1-ee44348ffb32" elementFormDefault="qualified">
    <xsd:import namespace="http://schemas.microsoft.com/office/2006/documentManagement/types"/>
    <xsd:import namespace="http://schemas.microsoft.com/office/infopath/2007/PartnerControls"/>
    <xsd:element name="SAFA_x0020_document" ma:index="8" ma:displayName="SAFA document" ma:internalName="SAFA_x0020_document">
      <xsd:simpleType>
        <xsd:restriction base="dms:Text">
          <xsd:maxLength value="255"/>
        </xsd:restriction>
      </xsd:simpleType>
    </xsd:element>
    <xsd:element name="Date_x0020_EiF" ma:index="9" nillable="true" ma:displayName="Date EiF" ma:internalName="Date_x0020_EiF">
      <xsd:simpleType>
        <xsd:restriction base="dms:Text">
          <xsd:maxLength value="255"/>
        </xsd:restriction>
      </xsd:simpleType>
    </xsd:element>
    <xsd:element name="Status" ma:index="10" nillable="true" ma:displayName="Status" ma:internalName="Status">
      <xsd:simpleType>
        <xsd:restriction base="dms:Text">
          <xsd:maxLength value="255"/>
        </xsd:restriction>
      </xsd:simpleType>
    </xsd:element>
    <xsd:element name="Type_x0020_of_x0020_document" ma:index="11" nillable="true" ma:displayName="Type of document" ma:internalName="Type_x0020_of_x0020_document">
      <xsd:simpleType>
        <xsd:restriction base="dms:Text">
          <xsd:maxLength value="255"/>
        </xsd:restriction>
      </xsd:simpleType>
    </xsd:element>
    <xsd:element name="Start_x0020_date" ma:index="12" ma:displayName="Start date" ma:internalName="Start_x0020_date">
      <xsd:simpleType>
        <xsd:restriction base="dms:Text">
          <xsd:maxLength value="255"/>
        </xsd:restriction>
      </xsd:simpleType>
    </xsd:element>
    <xsd:element name="End_x0020_date" ma:index="13" ma:displayName="End date" ma:internalName="End_x0020_da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40056C-A517-4123-B0B0-0297228A982A}">
  <ds:schemaRefs>
    <ds:schemaRef ds:uri="468d517b-1bce-4eac-b032-1e8ed9aee539"/>
    <ds:schemaRef ds:uri="http://schemas.microsoft.com/office/2006/documentManagement/types"/>
    <ds:schemaRef ds:uri="http://schemas.microsoft.com/sharepoint/v4"/>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c4694fc3-6400-40b0-882e-c49c17811b1f"/>
    <ds:schemaRef ds:uri="http://www.w3.org/XML/1998/namespace"/>
    <ds:schemaRef ds:uri="http://purl.org/dc/dcmitype/"/>
  </ds:schemaRefs>
</ds:datastoreItem>
</file>

<file path=customXml/itemProps2.xml><?xml version="1.0" encoding="utf-8"?>
<ds:datastoreItem xmlns:ds="http://schemas.openxmlformats.org/officeDocument/2006/customXml" ds:itemID="{36F13020-ED37-46CE-86BF-CA854E2F0300}">
  <ds:schemaRefs>
    <ds:schemaRef ds:uri="http://schemas.microsoft.com/sharepoint/v3/contenttype/forms"/>
  </ds:schemaRefs>
</ds:datastoreItem>
</file>

<file path=customXml/itemProps3.xml><?xml version="1.0" encoding="utf-8"?>
<ds:datastoreItem xmlns:ds="http://schemas.openxmlformats.org/officeDocument/2006/customXml" ds:itemID="{BD2D97D2-902C-4E36-BA09-84670E06AA12}"/>
</file>

<file path=customXml/itemProps4.xml><?xml version="1.0" encoding="utf-8"?>
<ds:datastoreItem xmlns:ds="http://schemas.openxmlformats.org/officeDocument/2006/customXml" ds:itemID="{91979D39-AB2B-4F8D-BE5D-F54E6EA12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140121_ENTSO-E_Template_Report_no LSPp.dotx</Template>
  <TotalTime>0</TotalTime>
  <Pages>12</Pages>
  <Words>3599</Words>
  <Characters>22674</Characters>
  <Application>Microsoft Office Word</Application>
  <DocSecurity>0</DocSecurity>
  <Lines>188</Lines>
  <Paragraphs>52</Paragraphs>
  <ScaleCrop>false</ScaleCrop>
  <HeadingPairs>
    <vt:vector size="16" baseType="variant">
      <vt:variant>
        <vt:lpstr>Titel</vt:lpstr>
      </vt:variant>
      <vt:variant>
        <vt:i4>1</vt:i4>
      </vt:variant>
      <vt:variant>
        <vt:lpstr>Title</vt:lpstr>
      </vt:variant>
      <vt:variant>
        <vt:i4>1</vt:i4>
      </vt:variant>
      <vt:variant>
        <vt:lpstr>Título</vt:lpstr>
      </vt:variant>
      <vt:variant>
        <vt:i4>1</vt:i4>
      </vt:variant>
      <vt:variant>
        <vt:lpstr>Naslov</vt:lpstr>
      </vt:variant>
      <vt:variant>
        <vt:i4>1</vt:i4>
      </vt:variant>
      <vt:variant>
        <vt:lpstr>Cím</vt:lpstr>
      </vt:variant>
      <vt:variant>
        <vt:i4>1</vt:i4>
      </vt:variant>
      <vt:variant>
        <vt:lpstr>Otsikko</vt:lpstr>
      </vt:variant>
      <vt:variant>
        <vt:i4>1</vt:i4>
      </vt:variant>
      <vt:variant>
        <vt:lpstr>Název</vt:lpstr>
      </vt:variant>
      <vt:variant>
        <vt:i4>1</vt:i4>
      </vt:variant>
      <vt:variant>
        <vt:lpstr>Tytuł</vt:lpstr>
      </vt:variant>
      <vt:variant>
        <vt:i4>1</vt:i4>
      </vt:variant>
    </vt:vector>
  </HeadingPairs>
  <TitlesOfParts>
    <vt:vector size="8" baseType="lpstr">
      <vt:lpstr>All continental European TSOs’ proposal for Common settlement rules for all unintended exchanges of energy in accordance with the Article 51(1) of Commission Regulation (EU) 2017/2195 of 23 November 2017 establishing a guideline on electricity balancing</vt:lpstr>
      <vt:lpstr>All continental European TSOs’ proposal for Common settlement rules for all unintended exchanges of energy in accordance with the Article 51(1) of Commission Regulation (EU) 2017/2195 of 23 November 2017 establishing a guideline on electricity balancing</vt:lpstr>
      <vt:lpstr>All continental European TSOs’ proposal for Common settlement rules for all unintended exchanges of energy in accordance with the Article 51(1) of Commission Regulation (EU) 2017/2195 of 23 November 2017 establishing a guideline on electricity balancing</vt:lpstr>
      <vt:lpstr>All Continental Europe TSOs’ proposal for Common settlement rules for all unintended exchanges of energy in accordance with the Article 51(1) of Commission Regulation (EU) 2017/2195 of 23 November 2017 establishing a guideline on electricity balancing
 DR</vt:lpstr>
      <vt:lpstr>All TSOs’ proposal for the day-ahead firmness deadline (DAFD) in accordance with Article 69 of the Commission Regulation (EU) 2015/1222 of 24 July 2015 establishing a guideline on capacity allocation and congestion management</vt:lpstr>
      <vt:lpstr>All TSOs’ proposal for the day-ahead firmness deadline (DAFD) in accordance with Article 69 of the Commission Regulation (EU) 2015/1222 of 24 July 2015 establishing a guideline on capacity allocation and congestion management</vt:lpstr>
      <vt:lpstr>All TSOs’ proposal for Capacity Calculation Regions (CCRs)</vt:lpstr>
      <vt:lpstr>All TSOs’ proposal for Capacity Calculation Regions (CCRs)</vt:lpstr>
    </vt:vector>
  </TitlesOfParts>
  <Company>HP</Company>
  <LinksUpToDate>false</LinksUpToDate>
  <CharactersWithSpaces>26221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continental European TSOs’ proposal for Common settlement rules for all unintended exchanges of energy in accordance with the Article 51(1) of Commission Regulation (EU) 2017/2195 of 23 November 2017 establishing a guideline on electricity balancing</dc:title>
  <dc:creator>Ricardo Renedo Williams</dc:creator>
  <cp:keywords>FSkar; SA CE; CCU</cp:keywords>
  <cp:lastModifiedBy>Olivares Noguera, Sebastian</cp:lastModifiedBy>
  <cp:revision>3</cp:revision>
  <cp:lastPrinted>2020-01-30T12:19:00Z</cp:lastPrinted>
  <dcterms:created xsi:type="dcterms:W3CDTF">2020-02-18T14:37:00Z</dcterms:created>
  <dcterms:modified xsi:type="dcterms:W3CDTF">2020-02-18T14:37:00Z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0x01010051EBA69E73190544A0E81B8C048425D4</vt:lpwstr>
  </property>
  <property fmtid="{D5CDD505-2E9C-101B-9397-08002B2CF9AE}" pid="4" name="TaxKeyword">
    <vt:lpwstr>3497;#FSkar|01f0a525-fcc8-4526-a804-78c7afd40b18;#4175;#CCU|c38d40b2-b5b2-4ccd-a530-3f11faaa9d2b;#4173;#SA CE|82262ebd-71de-449b-ad5f-0f96b5d4d9a6</vt:lpwstr>
  </property>
  <property fmtid="{D5CDD505-2E9C-101B-9397-08002B2CF9AE}" pid="5" name="m21e1f176c4a4ad491d679d83442a8a3">
    <vt:lpwstr/>
  </property>
  <property fmtid="{D5CDD505-2E9C-101B-9397-08002B2CF9AE}" pid="6" name="b">
    <vt:lpwstr/>
  </property>
  <property fmtid="{D5CDD505-2E9C-101B-9397-08002B2CF9AE}" pid="7" name="Level of Disclosure">
    <vt:lpwstr/>
  </property>
  <property fmtid="{D5CDD505-2E9C-101B-9397-08002B2CF9AE}" pid="8" name="Data Origin">
    <vt:lpwstr>4021;#Entso-E|8b8da1a5-4bab-488a-80fd-9db3fbf777b9</vt:lpwstr>
  </property>
  <property fmtid="{D5CDD505-2E9C-101B-9397-08002B2CF9AE}" pid="9" name="Data Classification">
    <vt:lpwstr>4019;#Open within ENTSO-E only|9abc0ec8-f4dc-4890-bc00-2ed7d301575a</vt:lpwstr>
  </property>
</Properties>
</file>