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60"/>
      </w:tblGrid>
      <w:tr w:rsidR="00691050" w:rsidRPr="002313F8" w14:paraId="4B36C85E" w14:textId="77777777" w:rsidTr="00CD0BD3">
        <w:trPr>
          <w:cantSplit/>
          <w:trHeight w:val="9900"/>
        </w:trPr>
        <w:tc>
          <w:tcPr>
            <w:tcW w:w="10460" w:type="dxa"/>
          </w:tcPr>
          <w:p w14:paraId="3A4DAA3D" w14:textId="77777777" w:rsidR="0052418A" w:rsidRDefault="0052418A" w:rsidP="0052418A"/>
          <w:p w14:paraId="5088B56F" w14:textId="77777777" w:rsidR="0052418A" w:rsidRDefault="0052418A" w:rsidP="0052418A"/>
          <w:p w14:paraId="27A543E9" w14:textId="77777777" w:rsidR="0052418A" w:rsidRDefault="0052418A" w:rsidP="0052418A"/>
          <w:p w14:paraId="0A2AFA4B" w14:textId="2BB20B18" w:rsidR="0052418A" w:rsidRDefault="0052418A" w:rsidP="0052418A"/>
          <w:p w14:paraId="2DD0CF03" w14:textId="3D949906" w:rsidR="0052418A" w:rsidRDefault="0052418A" w:rsidP="0052418A"/>
          <w:p w14:paraId="3EA26FAB" w14:textId="68606D5C" w:rsidR="0052418A" w:rsidRDefault="0052418A" w:rsidP="0052418A">
            <w:r w:rsidRPr="00B5113A">
              <w:rPr>
                <w:noProof/>
                <w:lang w:val="sv-SE" w:eastAsia="sv-SE"/>
              </w:rPr>
              <mc:AlternateContent>
                <mc:Choice Requires="wps">
                  <w:drawing>
                    <wp:anchor distT="0" distB="0" distL="114300" distR="114300" simplePos="0" relativeHeight="251659776" behindDoc="0" locked="0" layoutInCell="1" allowOverlap="1" wp14:anchorId="17BF7874" wp14:editId="48DA0525">
                      <wp:simplePos x="0" y="0"/>
                      <wp:positionH relativeFrom="margin">
                        <wp:posOffset>808659</wp:posOffset>
                      </wp:positionH>
                      <wp:positionV relativeFrom="margin">
                        <wp:posOffset>1117765</wp:posOffset>
                      </wp:positionV>
                      <wp:extent cx="5006975" cy="4150360"/>
                      <wp:effectExtent l="0" t="0" r="22225" b="21590"/>
                      <wp:wrapNone/>
                      <wp:docPr id="6"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150360"/>
                              </a:xfrm>
                              <a:prstGeom prst="rect">
                                <a:avLst/>
                              </a:prstGeom>
                              <a:solidFill>
                                <a:srgbClr val="FFFFFF">
                                  <a:alpha val="85001"/>
                                </a:srgbClr>
                              </a:solidFill>
                              <a:ln w="9525">
                                <a:solidFill>
                                  <a:srgbClr val="6F7072"/>
                                </a:solidFill>
                                <a:miter lim="800000"/>
                                <a:headEnd/>
                                <a:tailEnd/>
                              </a:ln>
                            </wps:spPr>
                            <wps:txb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637BF0" w:rsidRPr="0066249A" w14:paraId="151EB314"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0AB9CDF4" w14:textId="69453764" w:rsidR="00637BF0" w:rsidRPr="006A1DCE" w:rsidRDefault="00637BF0" w:rsidP="00637BF0">
                                            <w:pPr>
                                              <w:pStyle w:val="Deckblatt-Titel"/>
                                            </w:pPr>
                                            <w:r>
                                              <w:t>Nordic System Operation Agreement (SOA) – Annex Operational Planning (OP)</w:t>
                                            </w:r>
                                          </w:p>
                                        </w:tc>
                                      </w:sdtContent>
                                    </w:sdt>
                                  </w:tr>
                                  <w:tr w:rsidR="00637BF0" w:rsidRPr="0066249A" w14:paraId="131CC215" w14:textId="77777777" w:rsidTr="00D40634">
                                    <w:trPr>
                                      <w:gridAfter w:val="1"/>
                                      <w:wAfter w:w="63" w:type="dxa"/>
                                      <w:cantSplit/>
                                      <w:trHeight w:val="944"/>
                                      <w:jc w:val="center"/>
                                    </w:trPr>
                                    <w:tc>
                                      <w:tcPr>
                                        <w:tcW w:w="7838" w:type="dxa"/>
                                        <w:gridSpan w:val="5"/>
                                      </w:tcPr>
                                      <w:p w14:paraId="55C8CAE6" w14:textId="77777777" w:rsidR="00637BF0" w:rsidRPr="006A1DCE" w:rsidRDefault="00637BF0" w:rsidP="00637BF0">
                                        <w:pPr>
                                          <w:pStyle w:val="Deckblatt-Untertitel"/>
                                        </w:pPr>
                                      </w:p>
                                    </w:tc>
                                  </w:tr>
                                  <w:tr w:rsidR="00637BF0" w:rsidRPr="00D702C7" w14:paraId="47130ABF" w14:textId="77777777" w:rsidTr="00D40634">
                                    <w:trPr>
                                      <w:gridAfter w:val="1"/>
                                      <w:wAfter w:w="63" w:type="dxa"/>
                                      <w:cantSplit/>
                                      <w:trHeight w:val="792"/>
                                      <w:jc w:val="center"/>
                                    </w:trPr>
                                    <w:tc>
                                      <w:tcPr>
                                        <w:tcW w:w="7838" w:type="dxa"/>
                                        <w:gridSpan w:val="5"/>
                                      </w:tcPr>
                                      <w:p w14:paraId="514E6204" w14:textId="77777777" w:rsidR="00637BF0" w:rsidRPr="00D702C7" w:rsidRDefault="00637BF0" w:rsidP="00637BF0">
                                        <w:pPr>
                                          <w:pStyle w:val="Deckblatt-Untertitel"/>
                                          <w:rPr>
                                            <w:lang w:val="en-US"/>
                                          </w:rPr>
                                        </w:pPr>
                                      </w:p>
                                    </w:tc>
                                  </w:tr>
                                  <w:tr w:rsidR="00637BF0" w:rsidRPr="00D005B3" w14:paraId="71354B7A" w14:textId="77777777" w:rsidTr="00D40634">
                                    <w:trPr>
                                      <w:gridAfter w:val="1"/>
                                      <w:wAfter w:w="63" w:type="dxa"/>
                                      <w:cantSplit/>
                                      <w:trHeight w:val="555"/>
                                      <w:jc w:val="center"/>
                                    </w:trPr>
                                    <w:tc>
                                      <w:tcPr>
                                        <w:tcW w:w="7838" w:type="dxa"/>
                                        <w:gridSpan w:val="5"/>
                                      </w:tcPr>
                                      <w:p w14:paraId="40900C51" w14:textId="77777777" w:rsidR="00637BF0" w:rsidRPr="006A1DCE" w:rsidRDefault="00637BF0" w:rsidP="00637BF0">
                                        <w:pPr>
                                          <w:pStyle w:val="Deckblatt-Untertitel2"/>
                                          <w:rPr>
                                            <w:rFonts w:cs="Segoe UI"/>
                                          </w:rPr>
                                        </w:pPr>
                                      </w:p>
                                    </w:tc>
                                  </w:tr>
                                  <w:tr w:rsidR="00637BF0" w:rsidRPr="00D27E86" w14:paraId="46BEBB88" w14:textId="77777777" w:rsidTr="00D40634">
                                    <w:trPr>
                                      <w:gridAfter w:val="1"/>
                                      <w:wAfter w:w="63" w:type="dxa"/>
                                      <w:cantSplit/>
                                      <w:trHeight w:val="556"/>
                                      <w:jc w:val="center"/>
                                    </w:trPr>
                                    <w:tc>
                                      <w:tcPr>
                                        <w:tcW w:w="7838" w:type="dxa"/>
                                        <w:gridSpan w:val="5"/>
                                      </w:tcPr>
                                      <w:p w14:paraId="249D6F2C" w14:textId="77777777" w:rsidR="00637BF0" w:rsidRPr="006A1DCE" w:rsidRDefault="00637BF0" w:rsidP="00637BF0">
                                        <w:pPr>
                                          <w:pStyle w:val="Deckblatt-Untertitel2"/>
                                        </w:pPr>
                                        <w:r>
                                          <w:t xml:space="preserve">  </w:t>
                                        </w:r>
                                      </w:p>
                                    </w:tc>
                                  </w:tr>
                                  <w:tr w:rsidR="00637BF0" w:rsidRPr="00D27E86" w14:paraId="473E9319" w14:textId="77777777" w:rsidTr="00D40634">
                                    <w:trPr>
                                      <w:gridAfter w:val="1"/>
                                      <w:wAfter w:w="63" w:type="dxa"/>
                                      <w:cantSplit/>
                                      <w:trHeight w:val="556"/>
                                      <w:jc w:val="center"/>
                                    </w:trPr>
                                    <w:tc>
                                      <w:tcPr>
                                        <w:tcW w:w="7838" w:type="dxa"/>
                                        <w:gridSpan w:val="5"/>
                                      </w:tcPr>
                                      <w:p w14:paraId="1E2D345D" w14:textId="77777777" w:rsidR="00637BF0" w:rsidRPr="006A1DCE" w:rsidRDefault="00637BF0" w:rsidP="00637BF0">
                                        <w:pPr>
                                          <w:pStyle w:val="Deckblatt-Untertitel2"/>
                                        </w:pPr>
                                        <w:r>
                                          <w:t xml:space="preserve"> </w:t>
                                        </w:r>
                                      </w:p>
                                    </w:tc>
                                  </w:tr>
                                  <w:tr w:rsidR="00637BF0" w14:paraId="0F724632" w14:textId="77777777" w:rsidTr="00637BF0">
                                    <w:trPr>
                                      <w:cantSplit/>
                                      <w:trHeight w:hRule="exact" w:val="1230"/>
                                      <w:jc w:val="center"/>
                                    </w:trPr>
                                    <w:tc>
                                      <w:tcPr>
                                        <w:tcW w:w="1580" w:type="dxa"/>
                                        <w:vAlign w:val="bottom"/>
                                      </w:tcPr>
                                      <w:p w14:paraId="469E1294" w14:textId="77777777" w:rsidR="00637BF0" w:rsidRDefault="00637BF0" w:rsidP="00637BF0">
                                        <w:pPr>
                                          <w:pStyle w:val="Deckblatt-Untertitel2"/>
                                        </w:pPr>
                                        <w:r w:rsidRPr="00B5113A">
                                          <w:rPr>
                                            <w:noProof/>
                                            <w:lang w:val="sv-SE" w:eastAsia="sv-SE"/>
                                          </w:rPr>
                                          <w:drawing>
                                            <wp:inline distT="0" distB="0" distL="0" distR="0" wp14:anchorId="2B1F319F" wp14:editId="66BF5B81">
                                              <wp:extent cx="720001" cy="144000"/>
                                              <wp:effectExtent l="0" t="0" r="4445" b="8890"/>
                                              <wp:docPr id="5" name="Picture 7" descr="http://www.fingrid.fi/_layouts/Fingrid.Internet/images/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393B9234" w14:textId="77777777" w:rsidR="00637BF0" w:rsidRDefault="00637BF0" w:rsidP="00637BF0">
                                        <w:pPr>
                                          <w:pStyle w:val="Deckblatt-Untertitel2"/>
                                        </w:pPr>
                                        <w:r>
                                          <w:rPr>
                                            <w:noProof/>
                                            <w:lang w:val="sv-SE" w:eastAsia="sv-SE"/>
                                          </w:rPr>
                                          <w:drawing>
                                            <wp:inline distT="0" distB="0" distL="0" distR="0" wp14:anchorId="56264D49" wp14:editId="166FD92A">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3D64B7F2" w14:textId="77777777" w:rsidR="00637BF0" w:rsidRPr="006A1DCE" w:rsidRDefault="00637BF0" w:rsidP="00637BF0">
                                        <w:pPr>
                                          <w:pStyle w:val="Deckblatt-Untertitel2"/>
                                        </w:pPr>
                                        <w:r w:rsidRPr="00B5113A">
                                          <w:rPr>
                                            <w:noProof/>
                                            <w:lang w:val="sv-SE" w:eastAsia="sv-SE"/>
                                          </w:rPr>
                                          <w:drawing>
                                            <wp:inline distT="0" distB="0" distL="0" distR="0" wp14:anchorId="5BEAEC75" wp14:editId="5E7E3A4A">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5BF19DB2" w14:textId="77777777" w:rsidR="00637BF0" w:rsidRDefault="00637BF0" w:rsidP="00637BF0">
                                        <w:pPr>
                                          <w:pStyle w:val="Deckblatt-Untertitel2"/>
                                        </w:pPr>
                                        <w:r w:rsidRPr="00B5113A">
                                          <w:rPr>
                                            <w:noProof/>
                                            <w:lang w:val="sv-SE" w:eastAsia="sv-SE"/>
                                          </w:rPr>
                                          <w:drawing>
                                            <wp:inline distT="0" distB="0" distL="0" distR="0" wp14:anchorId="2B8F1767" wp14:editId="2B81A130">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5F3BAD3F" w14:textId="77777777" w:rsidR="00637BF0" w:rsidRDefault="00637BF0" w:rsidP="00637BF0">
                                        <w:pPr>
                                          <w:pStyle w:val="Deckblatt-Untertitel2"/>
                                        </w:pPr>
                                        <w:r>
                                          <w:rPr>
                                            <w:noProof/>
                                            <w:lang w:val="sv-SE" w:eastAsia="sv-SE"/>
                                          </w:rPr>
                                          <w:drawing>
                                            <wp:inline distT="0" distB="0" distL="0" distR="0" wp14:anchorId="27116EF4" wp14:editId="62DA492D">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7">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2DFBACC1" w14:textId="77777777" w:rsidR="00637BF0" w:rsidRPr="00FF77EE" w:rsidRDefault="00637BF0" w:rsidP="0052418A">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7874" id="_x0000_t202" coordsize="21600,21600" o:spt="202" path="m,l,21600r21600,l21600,xe">
                      <v:stroke joinstyle="miter"/>
                      <v:path gradientshapeok="t" o:connecttype="rect"/>
                    </v:shapetype>
                    <v:shape id="Text Box 48" o:spid="_x0000_s1026" type="#_x0000_t202" style="position:absolute;left:0;text-align:left;margin-left:63.65pt;margin-top:88pt;width:394.25pt;height:326.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" strokecolor="#6f7072">
                      <v:fill opacity="55769f"/>
                      <o:lock v:ext="edit" aspectratio="t"/>
                      <v:textbo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637BF0" w:rsidRPr="0066249A" w14:paraId="151EB314"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0AB9CDF4" w14:textId="69453764" w:rsidR="00637BF0" w:rsidRPr="006A1DCE" w:rsidRDefault="00637BF0" w:rsidP="00637BF0">
                                      <w:pPr>
                                        <w:pStyle w:val="Deckblatt-Titel"/>
                                      </w:pPr>
                                      <w:r>
                                        <w:t>Nordic System Operation Agreement (SOA) – Annex Operational Planning (OP)</w:t>
                                      </w:r>
                                    </w:p>
                                  </w:tc>
                                </w:sdtContent>
                              </w:sdt>
                            </w:tr>
                            <w:tr w:rsidR="00637BF0" w:rsidRPr="0066249A" w14:paraId="131CC215" w14:textId="77777777" w:rsidTr="00D40634">
                              <w:trPr>
                                <w:gridAfter w:val="1"/>
                                <w:wAfter w:w="63" w:type="dxa"/>
                                <w:cantSplit/>
                                <w:trHeight w:val="944"/>
                                <w:jc w:val="center"/>
                              </w:trPr>
                              <w:tc>
                                <w:tcPr>
                                  <w:tcW w:w="7838" w:type="dxa"/>
                                  <w:gridSpan w:val="5"/>
                                </w:tcPr>
                                <w:p w14:paraId="55C8CAE6" w14:textId="77777777" w:rsidR="00637BF0" w:rsidRPr="006A1DCE" w:rsidRDefault="00637BF0" w:rsidP="00637BF0">
                                  <w:pPr>
                                    <w:pStyle w:val="Deckblatt-Untertitel"/>
                                  </w:pPr>
                                </w:p>
                              </w:tc>
                            </w:tr>
                            <w:tr w:rsidR="00637BF0" w:rsidRPr="00D702C7" w14:paraId="47130ABF" w14:textId="77777777" w:rsidTr="00D40634">
                              <w:trPr>
                                <w:gridAfter w:val="1"/>
                                <w:wAfter w:w="63" w:type="dxa"/>
                                <w:cantSplit/>
                                <w:trHeight w:val="792"/>
                                <w:jc w:val="center"/>
                              </w:trPr>
                              <w:tc>
                                <w:tcPr>
                                  <w:tcW w:w="7838" w:type="dxa"/>
                                  <w:gridSpan w:val="5"/>
                                </w:tcPr>
                                <w:p w14:paraId="514E6204" w14:textId="77777777" w:rsidR="00637BF0" w:rsidRPr="00D702C7" w:rsidRDefault="00637BF0" w:rsidP="00637BF0">
                                  <w:pPr>
                                    <w:pStyle w:val="Deckblatt-Untertitel"/>
                                    <w:rPr>
                                      <w:lang w:val="en-US"/>
                                    </w:rPr>
                                  </w:pPr>
                                </w:p>
                              </w:tc>
                            </w:tr>
                            <w:tr w:rsidR="00637BF0" w:rsidRPr="00D005B3" w14:paraId="71354B7A" w14:textId="77777777" w:rsidTr="00D40634">
                              <w:trPr>
                                <w:gridAfter w:val="1"/>
                                <w:wAfter w:w="63" w:type="dxa"/>
                                <w:cantSplit/>
                                <w:trHeight w:val="555"/>
                                <w:jc w:val="center"/>
                              </w:trPr>
                              <w:tc>
                                <w:tcPr>
                                  <w:tcW w:w="7838" w:type="dxa"/>
                                  <w:gridSpan w:val="5"/>
                                </w:tcPr>
                                <w:p w14:paraId="40900C51" w14:textId="77777777" w:rsidR="00637BF0" w:rsidRPr="006A1DCE" w:rsidRDefault="00637BF0" w:rsidP="00637BF0">
                                  <w:pPr>
                                    <w:pStyle w:val="Deckblatt-Untertitel2"/>
                                    <w:rPr>
                                      <w:rFonts w:cs="Segoe UI"/>
                                    </w:rPr>
                                  </w:pPr>
                                </w:p>
                              </w:tc>
                            </w:tr>
                            <w:tr w:rsidR="00637BF0" w:rsidRPr="00D27E86" w14:paraId="46BEBB88" w14:textId="77777777" w:rsidTr="00D40634">
                              <w:trPr>
                                <w:gridAfter w:val="1"/>
                                <w:wAfter w:w="63" w:type="dxa"/>
                                <w:cantSplit/>
                                <w:trHeight w:val="556"/>
                                <w:jc w:val="center"/>
                              </w:trPr>
                              <w:tc>
                                <w:tcPr>
                                  <w:tcW w:w="7838" w:type="dxa"/>
                                  <w:gridSpan w:val="5"/>
                                </w:tcPr>
                                <w:p w14:paraId="249D6F2C" w14:textId="77777777" w:rsidR="00637BF0" w:rsidRPr="006A1DCE" w:rsidRDefault="00637BF0" w:rsidP="00637BF0">
                                  <w:pPr>
                                    <w:pStyle w:val="Deckblatt-Untertitel2"/>
                                  </w:pPr>
                                  <w:r>
                                    <w:t xml:space="preserve">  </w:t>
                                  </w:r>
                                </w:p>
                              </w:tc>
                            </w:tr>
                            <w:tr w:rsidR="00637BF0" w:rsidRPr="00D27E86" w14:paraId="473E9319" w14:textId="77777777" w:rsidTr="00D40634">
                              <w:trPr>
                                <w:gridAfter w:val="1"/>
                                <w:wAfter w:w="63" w:type="dxa"/>
                                <w:cantSplit/>
                                <w:trHeight w:val="556"/>
                                <w:jc w:val="center"/>
                              </w:trPr>
                              <w:tc>
                                <w:tcPr>
                                  <w:tcW w:w="7838" w:type="dxa"/>
                                  <w:gridSpan w:val="5"/>
                                </w:tcPr>
                                <w:p w14:paraId="1E2D345D" w14:textId="77777777" w:rsidR="00637BF0" w:rsidRPr="006A1DCE" w:rsidRDefault="00637BF0" w:rsidP="00637BF0">
                                  <w:pPr>
                                    <w:pStyle w:val="Deckblatt-Untertitel2"/>
                                  </w:pPr>
                                  <w:r>
                                    <w:t xml:space="preserve"> </w:t>
                                  </w:r>
                                </w:p>
                              </w:tc>
                            </w:tr>
                            <w:tr w:rsidR="00637BF0" w14:paraId="0F724632" w14:textId="77777777" w:rsidTr="00637BF0">
                              <w:trPr>
                                <w:cantSplit/>
                                <w:trHeight w:hRule="exact" w:val="1230"/>
                                <w:jc w:val="center"/>
                              </w:trPr>
                              <w:tc>
                                <w:tcPr>
                                  <w:tcW w:w="1580" w:type="dxa"/>
                                  <w:vAlign w:val="bottom"/>
                                </w:tcPr>
                                <w:p w14:paraId="469E1294" w14:textId="77777777" w:rsidR="00637BF0" w:rsidRDefault="00637BF0" w:rsidP="00637BF0">
                                  <w:pPr>
                                    <w:pStyle w:val="Deckblatt-Untertitel2"/>
                                  </w:pPr>
                                  <w:r w:rsidRPr="00B5113A">
                                    <w:rPr>
                                      <w:noProof/>
                                      <w:lang w:val="sv-SE" w:eastAsia="sv-SE"/>
                                    </w:rPr>
                                    <w:drawing>
                                      <wp:inline distT="0" distB="0" distL="0" distR="0" wp14:anchorId="2B1F319F" wp14:editId="66BF5B81">
                                        <wp:extent cx="720001" cy="144000"/>
                                        <wp:effectExtent l="0" t="0" r="4445" b="8890"/>
                                        <wp:docPr id="5" name="Picture 7" descr="http://www.fingrid.fi/_layouts/Fingrid.Internet/images/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393B9234" w14:textId="77777777" w:rsidR="00637BF0" w:rsidRDefault="00637BF0" w:rsidP="00637BF0">
                                  <w:pPr>
                                    <w:pStyle w:val="Deckblatt-Untertitel2"/>
                                  </w:pPr>
                                  <w:r>
                                    <w:rPr>
                                      <w:noProof/>
                                      <w:lang w:val="sv-SE" w:eastAsia="sv-SE"/>
                                    </w:rPr>
                                    <w:drawing>
                                      <wp:inline distT="0" distB="0" distL="0" distR="0" wp14:anchorId="56264D49" wp14:editId="166FD92A">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3D64B7F2" w14:textId="77777777" w:rsidR="00637BF0" w:rsidRPr="006A1DCE" w:rsidRDefault="00637BF0" w:rsidP="00637BF0">
                                  <w:pPr>
                                    <w:pStyle w:val="Deckblatt-Untertitel2"/>
                                  </w:pPr>
                                  <w:r w:rsidRPr="00B5113A">
                                    <w:rPr>
                                      <w:noProof/>
                                      <w:lang w:val="sv-SE" w:eastAsia="sv-SE"/>
                                    </w:rPr>
                                    <w:drawing>
                                      <wp:inline distT="0" distB="0" distL="0" distR="0" wp14:anchorId="5BEAEC75" wp14:editId="5E7E3A4A">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5BF19DB2" w14:textId="77777777" w:rsidR="00637BF0" w:rsidRDefault="00637BF0" w:rsidP="00637BF0">
                                  <w:pPr>
                                    <w:pStyle w:val="Deckblatt-Untertitel2"/>
                                  </w:pPr>
                                  <w:r w:rsidRPr="00B5113A">
                                    <w:rPr>
                                      <w:noProof/>
                                      <w:lang w:val="sv-SE" w:eastAsia="sv-SE"/>
                                    </w:rPr>
                                    <w:drawing>
                                      <wp:inline distT="0" distB="0" distL="0" distR="0" wp14:anchorId="2B8F1767" wp14:editId="2B81A130">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5F3BAD3F" w14:textId="77777777" w:rsidR="00637BF0" w:rsidRDefault="00637BF0" w:rsidP="00637BF0">
                                  <w:pPr>
                                    <w:pStyle w:val="Deckblatt-Untertitel2"/>
                                  </w:pPr>
                                  <w:r>
                                    <w:rPr>
                                      <w:noProof/>
                                      <w:lang w:val="sv-SE" w:eastAsia="sv-SE"/>
                                    </w:rPr>
                                    <w:drawing>
                                      <wp:inline distT="0" distB="0" distL="0" distR="0" wp14:anchorId="27116EF4" wp14:editId="62DA492D">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7">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2DFBACC1" w14:textId="77777777" w:rsidR="00637BF0" w:rsidRPr="00FF77EE" w:rsidRDefault="00637BF0" w:rsidP="0052418A">
                            <w:pPr>
                              <w:pStyle w:val="Deckblatt-Untertitel2"/>
                            </w:pPr>
                          </w:p>
                        </w:txbxContent>
                      </v:textbox>
                      <w10:wrap anchorx="margin" anchory="margin"/>
                    </v:shape>
                  </w:pict>
                </mc:Fallback>
              </mc:AlternateContent>
            </w:r>
          </w:p>
          <w:p w14:paraId="78A2DB31" w14:textId="01F3C0B4" w:rsidR="0052418A" w:rsidRDefault="0052418A" w:rsidP="0052418A"/>
          <w:p w14:paraId="1ABFF278" w14:textId="77777777" w:rsidR="0052418A" w:rsidRDefault="0052418A" w:rsidP="0052418A"/>
          <w:p w14:paraId="50C5AF3F" w14:textId="685647A6" w:rsidR="0052418A" w:rsidRDefault="0052418A" w:rsidP="0052418A"/>
          <w:p w14:paraId="4AE0F2EE" w14:textId="71469BC6" w:rsidR="0052418A" w:rsidRDefault="0052418A" w:rsidP="0052418A"/>
          <w:p w14:paraId="32D475A5" w14:textId="3549E5D8" w:rsidR="0052418A" w:rsidRDefault="0052418A" w:rsidP="0052418A"/>
          <w:p w14:paraId="1BB204F9" w14:textId="29A99130" w:rsidR="0052418A" w:rsidRDefault="0052418A" w:rsidP="0052418A"/>
          <w:p w14:paraId="1775899E" w14:textId="77777777" w:rsidR="0052418A" w:rsidRDefault="0052418A" w:rsidP="0052418A"/>
          <w:p w14:paraId="132D3EFA" w14:textId="2FF2AB6C" w:rsidR="0052418A" w:rsidRDefault="0052418A" w:rsidP="0052418A"/>
          <w:p w14:paraId="49D5C8B9" w14:textId="2F7158FD" w:rsidR="0052418A" w:rsidRDefault="0052418A" w:rsidP="0052418A"/>
          <w:p w14:paraId="29823B1F" w14:textId="77777777" w:rsidR="0052418A" w:rsidRDefault="0052418A" w:rsidP="0052418A"/>
          <w:p w14:paraId="32FA6664" w14:textId="5F764C0A" w:rsidR="00691050" w:rsidRPr="002313F8" w:rsidRDefault="00691050" w:rsidP="003C6058">
            <w:pPr>
              <w:pStyle w:val="Appendix2"/>
              <w:jc w:val="center"/>
            </w:pPr>
          </w:p>
        </w:tc>
      </w:tr>
    </w:tbl>
    <w:tbl>
      <w:tblPr>
        <w:tblStyle w:val="Lyslisteuthevingsfarge2"/>
        <w:tblW w:w="7938" w:type="dxa"/>
        <w:tblInd w:w="1384" w:type="dxa"/>
        <w:tblLook w:val="00A0" w:firstRow="1" w:lastRow="0" w:firstColumn="1" w:lastColumn="0" w:noHBand="0" w:noVBand="0"/>
      </w:tblPr>
      <w:tblGrid>
        <w:gridCol w:w="1985"/>
        <w:gridCol w:w="2126"/>
        <w:gridCol w:w="3827"/>
      </w:tblGrid>
      <w:tr w:rsidR="005048F9" w:rsidRPr="00BD7950" w14:paraId="6CAD9FF7" w14:textId="77777777" w:rsidTr="00005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56586E31" w14:textId="77777777" w:rsidR="005048F9" w:rsidRPr="003275F1" w:rsidRDefault="005048F9" w:rsidP="00005969">
            <w:pPr>
              <w:rPr>
                <w:rStyle w:val="Sterk"/>
                <w:b/>
                <w:bCs/>
                <w:color w:val="FFFFFF"/>
                <w:szCs w:val="20"/>
              </w:rPr>
            </w:pPr>
            <w:r w:rsidRPr="003275F1">
              <w:rPr>
                <w:rStyle w:val="Ste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19884384" w14:textId="77777777" w:rsidR="005048F9" w:rsidRPr="003275F1" w:rsidRDefault="005048F9" w:rsidP="00005969">
            <w:pPr>
              <w:rPr>
                <w:rStyle w:val="Sterk"/>
                <w:b/>
                <w:bCs/>
                <w:color w:val="FFFFFF"/>
                <w:szCs w:val="20"/>
              </w:rPr>
            </w:pPr>
            <w:r w:rsidRPr="003275F1">
              <w:rPr>
                <w:rStyle w:val="Ste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1B92E025" w14:textId="77777777" w:rsidR="005048F9" w:rsidRPr="003275F1" w:rsidRDefault="005048F9" w:rsidP="00005969">
            <w:pPr>
              <w:cnfStyle w:val="100000000000" w:firstRow="1" w:lastRow="0" w:firstColumn="0" w:lastColumn="0" w:oddVBand="0" w:evenVBand="0" w:oddHBand="0" w:evenHBand="0" w:firstRowFirstColumn="0" w:firstRowLastColumn="0" w:lastRowFirstColumn="0" w:lastRowLastColumn="0"/>
              <w:rPr>
                <w:rStyle w:val="Sterk"/>
                <w:b/>
                <w:bCs/>
                <w:color w:val="FFFFFF"/>
                <w:szCs w:val="20"/>
              </w:rPr>
            </w:pPr>
            <w:r w:rsidRPr="003275F1">
              <w:rPr>
                <w:rStyle w:val="Sterk"/>
                <w:b/>
                <w:color w:val="FFFFFF"/>
                <w:szCs w:val="20"/>
              </w:rPr>
              <w:t>Revision</w:t>
            </w:r>
          </w:p>
        </w:tc>
      </w:tr>
      <w:tr w:rsidR="00087054" w:rsidRPr="00BD7950" w14:paraId="6CAF60B8" w14:textId="77777777" w:rsidTr="000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BDEAD3B" w14:textId="3BB3B350" w:rsidR="00087054" w:rsidRPr="00087054" w:rsidRDefault="00087054" w:rsidP="00087054">
            <w:pPr>
              <w:rPr>
                <w:rStyle w:val="Sterk"/>
                <w:b/>
                <w:bCs/>
                <w:szCs w:val="20"/>
              </w:rPr>
            </w:pPr>
            <w:r w:rsidRPr="00087054">
              <w:rPr>
                <w:b w:val="0"/>
                <w:bCs w:val="0"/>
              </w:rPr>
              <w:t>11/12/2019</w:t>
            </w:r>
          </w:p>
        </w:tc>
        <w:tc>
          <w:tcPr>
            <w:cnfStyle w:val="000010000000" w:firstRow="0" w:lastRow="0" w:firstColumn="0" w:lastColumn="0" w:oddVBand="1" w:evenVBand="0" w:oddHBand="0" w:evenHBand="0" w:firstRowFirstColumn="0" w:firstRowLastColumn="0" w:lastRowFirstColumn="0" w:lastRowLastColumn="0"/>
            <w:tcW w:w="2126" w:type="dxa"/>
          </w:tcPr>
          <w:p w14:paraId="08A89CDC" w14:textId="77F2E8FD" w:rsidR="00087054" w:rsidRPr="00BD7950" w:rsidRDefault="00087054" w:rsidP="00087054">
            <w:pPr>
              <w:rPr>
                <w:rStyle w:val="Sterk"/>
                <w:b w:val="0"/>
                <w:szCs w:val="20"/>
              </w:rPr>
            </w:pPr>
            <w:r w:rsidRPr="006D38BE">
              <w:t>11/12/2019</w:t>
            </w:r>
          </w:p>
        </w:tc>
        <w:tc>
          <w:tcPr>
            <w:tcW w:w="3827" w:type="dxa"/>
            <w:tcBorders>
              <w:left w:val="nil"/>
            </w:tcBorders>
          </w:tcPr>
          <w:p w14:paraId="47965107" w14:textId="470E39F2" w:rsidR="00087054" w:rsidRPr="00BD7950" w:rsidRDefault="00087054" w:rsidP="00087054">
            <w:pPr>
              <w:cnfStyle w:val="000000100000" w:firstRow="0" w:lastRow="0" w:firstColumn="0" w:lastColumn="0" w:oddVBand="0" w:evenVBand="0" w:oddHBand="1" w:evenHBand="0" w:firstRowFirstColumn="0" w:firstRowLastColumn="0" w:lastRowFirstColumn="0" w:lastRowLastColumn="0"/>
              <w:rPr>
                <w:rStyle w:val="Sterk"/>
                <w:b w:val="0"/>
                <w:szCs w:val="20"/>
              </w:rPr>
            </w:pPr>
            <w:r>
              <w:rPr>
                <w:rStyle w:val="Sterk"/>
                <w:b w:val="0"/>
                <w:szCs w:val="20"/>
              </w:rPr>
              <w:t xml:space="preserve">SOA Annex </w:t>
            </w:r>
            <w:r w:rsidRPr="00C307D6">
              <w:rPr>
                <w:rStyle w:val="Sterk"/>
                <w:b w:val="0"/>
                <w:szCs w:val="20"/>
              </w:rPr>
              <w:t>Operational Planning</w:t>
            </w:r>
            <w:r>
              <w:rPr>
                <w:rStyle w:val="Sterk"/>
                <w:b w:val="0"/>
                <w:szCs w:val="20"/>
              </w:rPr>
              <w:t xml:space="preserve"> (OP) – Initial version</w:t>
            </w:r>
          </w:p>
        </w:tc>
      </w:tr>
      <w:tr w:rsidR="005048F9" w:rsidRPr="00BD7950" w14:paraId="4F198F63" w14:textId="77777777" w:rsidTr="00005969">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1F1E5141" w14:textId="72039BAF" w:rsidR="005048F9" w:rsidRPr="00BD7950" w:rsidRDefault="00182321" w:rsidP="00005969">
            <w:pPr>
              <w:rPr>
                <w:rStyle w:val="Sterk"/>
                <w:bCs/>
                <w:szCs w:val="20"/>
              </w:rPr>
            </w:pPr>
            <w:r>
              <w:rPr>
                <w:rStyle w:val="Sterk"/>
                <w:bCs/>
                <w:szCs w:val="20"/>
              </w:rPr>
              <w:t>10/11</w:t>
            </w:r>
            <w:r w:rsidR="00A86463">
              <w:rPr>
                <w:rStyle w:val="Sterk"/>
                <w:bCs/>
                <w:szCs w:val="20"/>
              </w:rPr>
              <w:t>/2021</w:t>
            </w: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691FFF5B" w14:textId="6370448B" w:rsidR="005048F9" w:rsidRPr="00BD7950" w:rsidRDefault="00182321" w:rsidP="00005969">
            <w:pPr>
              <w:rPr>
                <w:rStyle w:val="Sterk"/>
                <w:b w:val="0"/>
                <w:szCs w:val="20"/>
              </w:rPr>
            </w:pPr>
            <w:r>
              <w:rPr>
                <w:rStyle w:val="Sterk"/>
                <w:b w:val="0"/>
                <w:szCs w:val="20"/>
              </w:rPr>
              <w:t>10/11</w:t>
            </w:r>
            <w:r w:rsidR="00A86463">
              <w:rPr>
                <w:rStyle w:val="Sterk"/>
                <w:b w:val="0"/>
                <w:szCs w:val="20"/>
              </w:rPr>
              <w:t>/2021</w:t>
            </w:r>
          </w:p>
        </w:tc>
        <w:tc>
          <w:tcPr>
            <w:tcW w:w="3827" w:type="dxa"/>
            <w:tcBorders>
              <w:top w:val="nil"/>
              <w:left w:val="nil"/>
              <w:bottom w:val="nil"/>
              <w:right w:val="single" w:sz="8" w:space="0" w:color="002F56" w:themeColor="accent2"/>
            </w:tcBorders>
          </w:tcPr>
          <w:p w14:paraId="0B94309C" w14:textId="1A1ADC3A" w:rsidR="005048F9" w:rsidRPr="00BD7950" w:rsidRDefault="006C28D6" w:rsidP="00005969">
            <w:pPr>
              <w:cnfStyle w:val="000000000000" w:firstRow="0" w:lastRow="0" w:firstColumn="0" w:lastColumn="0" w:oddVBand="0" w:evenVBand="0" w:oddHBand="0" w:evenHBand="0" w:firstRowFirstColumn="0" w:firstRowLastColumn="0" w:lastRowFirstColumn="0" w:lastRowLastColumn="0"/>
              <w:rPr>
                <w:rStyle w:val="Sterk"/>
                <w:b w:val="0"/>
                <w:szCs w:val="20"/>
              </w:rPr>
            </w:pPr>
            <w:r>
              <w:rPr>
                <w:rStyle w:val="Sterk"/>
                <w:b w:val="0"/>
                <w:szCs w:val="20"/>
              </w:rPr>
              <w:t>Text improvements and updates</w:t>
            </w:r>
          </w:p>
        </w:tc>
      </w:tr>
      <w:tr w:rsidR="005048F9" w:rsidRPr="00BD7950" w14:paraId="0252AD13" w14:textId="77777777" w:rsidTr="000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29EA414" w14:textId="77777777" w:rsidR="005048F9" w:rsidRPr="00BD7950" w:rsidRDefault="005048F9" w:rsidP="00005969">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3B09684F" w14:textId="77777777" w:rsidR="005048F9" w:rsidRPr="00BD7950" w:rsidRDefault="005048F9" w:rsidP="00005969">
            <w:pPr>
              <w:rPr>
                <w:rStyle w:val="Sterk"/>
                <w:b w:val="0"/>
                <w:szCs w:val="20"/>
              </w:rPr>
            </w:pPr>
          </w:p>
        </w:tc>
        <w:tc>
          <w:tcPr>
            <w:tcW w:w="3827" w:type="dxa"/>
            <w:tcBorders>
              <w:left w:val="nil"/>
            </w:tcBorders>
          </w:tcPr>
          <w:p w14:paraId="72F37EC1" w14:textId="77777777" w:rsidR="005048F9" w:rsidRPr="00BD7950" w:rsidRDefault="005048F9" w:rsidP="00005969">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5048F9" w:rsidRPr="00BD7950" w14:paraId="0CFA5E80" w14:textId="77777777" w:rsidTr="00005969">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38C6683A" w14:textId="77777777" w:rsidR="005048F9" w:rsidRPr="00BD7950" w:rsidRDefault="005048F9" w:rsidP="00005969">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2E994700" w14:textId="77777777" w:rsidR="005048F9" w:rsidRPr="00BD7950" w:rsidRDefault="005048F9" w:rsidP="00005969">
            <w:pPr>
              <w:rPr>
                <w:rStyle w:val="Sterk"/>
                <w:b w:val="0"/>
                <w:szCs w:val="20"/>
              </w:rPr>
            </w:pPr>
          </w:p>
        </w:tc>
        <w:tc>
          <w:tcPr>
            <w:tcW w:w="3827" w:type="dxa"/>
            <w:tcBorders>
              <w:top w:val="nil"/>
              <w:left w:val="nil"/>
              <w:bottom w:val="nil"/>
              <w:right w:val="single" w:sz="8" w:space="0" w:color="002F56" w:themeColor="accent2"/>
            </w:tcBorders>
          </w:tcPr>
          <w:p w14:paraId="494591E2" w14:textId="77777777" w:rsidR="005048F9" w:rsidRPr="00BD7950" w:rsidRDefault="005048F9" w:rsidP="00005969">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5048F9" w:rsidRPr="00BD7950" w14:paraId="6BF83496" w14:textId="77777777" w:rsidTr="000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7C080E57" w14:textId="77777777" w:rsidR="005048F9" w:rsidRPr="00BD7950" w:rsidRDefault="005048F9" w:rsidP="00005969">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5C1B2880" w14:textId="77777777" w:rsidR="005048F9" w:rsidRPr="00BD7950" w:rsidRDefault="005048F9" w:rsidP="00005969">
            <w:pPr>
              <w:rPr>
                <w:rStyle w:val="Sterk"/>
                <w:b w:val="0"/>
                <w:szCs w:val="20"/>
              </w:rPr>
            </w:pPr>
          </w:p>
        </w:tc>
        <w:tc>
          <w:tcPr>
            <w:tcW w:w="3827" w:type="dxa"/>
            <w:tcBorders>
              <w:left w:val="nil"/>
            </w:tcBorders>
          </w:tcPr>
          <w:p w14:paraId="18ED8AF2" w14:textId="77777777" w:rsidR="005048F9" w:rsidRPr="00BD7950" w:rsidRDefault="005048F9" w:rsidP="00005969">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5048F9" w:rsidRPr="00BD7950" w14:paraId="2AF0122D" w14:textId="77777777" w:rsidTr="00005969">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2C06540E" w14:textId="77777777" w:rsidR="005048F9" w:rsidRPr="00BD7950" w:rsidRDefault="005048F9" w:rsidP="00005969">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09D376C7" w14:textId="77777777" w:rsidR="005048F9" w:rsidRPr="00BD7950" w:rsidRDefault="005048F9" w:rsidP="00005969">
            <w:pPr>
              <w:rPr>
                <w:rStyle w:val="Sterk"/>
                <w:b w:val="0"/>
                <w:szCs w:val="20"/>
              </w:rPr>
            </w:pPr>
          </w:p>
        </w:tc>
        <w:tc>
          <w:tcPr>
            <w:tcW w:w="3827" w:type="dxa"/>
            <w:tcBorders>
              <w:top w:val="nil"/>
              <w:left w:val="nil"/>
              <w:bottom w:val="nil"/>
              <w:right w:val="single" w:sz="8" w:space="0" w:color="002F56" w:themeColor="accent2"/>
            </w:tcBorders>
          </w:tcPr>
          <w:p w14:paraId="10807408" w14:textId="77777777" w:rsidR="005048F9" w:rsidRPr="00BD7950" w:rsidRDefault="005048F9" w:rsidP="00005969">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5048F9" w:rsidRPr="00BD7950" w14:paraId="2111B515" w14:textId="77777777" w:rsidTr="00005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6F615D3" w14:textId="77777777" w:rsidR="005048F9" w:rsidRPr="00BD7950" w:rsidRDefault="005048F9" w:rsidP="00005969">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39B01273" w14:textId="77777777" w:rsidR="005048F9" w:rsidRPr="00BD7950" w:rsidRDefault="005048F9" w:rsidP="00005969">
            <w:pPr>
              <w:rPr>
                <w:rStyle w:val="Sterk"/>
                <w:b w:val="0"/>
                <w:szCs w:val="20"/>
              </w:rPr>
            </w:pPr>
          </w:p>
        </w:tc>
        <w:tc>
          <w:tcPr>
            <w:tcW w:w="3827" w:type="dxa"/>
            <w:tcBorders>
              <w:left w:val="nil"/>
            </w:tcBorders>
          </w:tcPr>
          <w:p w14:paraId="32C0949A" w14:textId="77777777" w:rsidR="005048F9" w:rsidRPr="00BD7950" w:rsidRDefault="005048F9" w:rsidP="00005969">
            <w:pPr>
              <w:cnfStyle w:val="000000100000" w:firstRow="0" w:lastRow="0" w:firstColumn="0" w:lastColumn="0" w:oddVBand="0" w:evenVBand="0" w:oddHBand="1" w:evenHBand="0" w:firstRowFirstColumn="0" w:firstRowLastColumn="0" w:lastRowFirstColumn="0" w:lastRowLastColumn="0"/>
              <w:rPr>
                <w:rStyle w:val="Sterk"/>
                <w:b w:val="0"/>
                <w:szCs w:val="20"/>
              </w:rPr>
            </w:pPr>
          </w:p>
        </w:tc>
      </w:tr>
    </w:tbl>
    <w:p w14:paraId="0FB1A747" w14:textId="77777777" w:rsidR="00691050" w:rsidRPr="002313F8" w:rsidRDefault="00691050" w:rsidP="00691050">
      <w:pPr>
        <w:pStyle w:val="Blocksatz"/>
        <w:rPr>
          <w:noProof/>
          <w:lang w:eastAsia="de-DE"/>
        </w:rPr>
      </w:pPr>
      <w:r w:rsidRPr="002313F8">
        <w:rPr>
          <w:noProof/>
          <w:lang w:val="sv-SE" w:eastAsia="sv-SE"/>
        </w:rPr>
        <w:drawing>
          <wp:anchor distT="0" distB="0" distL="114300" distR="114300" simplePos="0" relativeHeight="251658248" behindDoc="0" locked="0" layoutInCell="1" allowOverlap="1" wp14:anchorId="592A9300" wp14:editId="51564EA0">
            <wp:simplePos x="0" y="0"/>
            <wp:positionH relativeFrom="rightMargin">
              <wp:posOffset>-2940685</wp:posOffset>
            </wp:positionH>
            <wp:positionV relativeFrom="insideMargin">
              <wp:posOffset>-1809115</wp:posOffset>
            </wp:positionV>
            <wp:extent cx="1514475" cy="381000"/>
            <wp:effectExtent l="19050" t="0" r="9525" b="0"/>
            <wp:wrapNone/>
            <wp:docPr id="9" name="Grafik 21" descr="Ebridg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idgeLogo-RGB.jpg"/>
                    <pic:cNvPicPr/>
                  </pic:nvPicPr>
                  <pic:blipFill>
                    <a:blip r:embed="rId18" cstate="print"/>
                    <a:stretch>
                      <a:fillRect/>
                    </a:stretch>
                  </pic:blipFill>
                  <pic:spPr>
                    <a:xfrm>
                      <a:off x="0" y="0"/>
                      <a:ext cx="1514475" cy="381000"/>
                    </a:xfrm>
                    <a:prstGeom prst="rect">
                      <a:avLst/>
                    </a:prstGeom>
                  </pic:spPr>
                </pic:pic>
              </a:graphicData>
            </a:graphic>
          </wp:anchor>
        </w:drawing>
      </w:r>
    </w:p>
    <w:p w14:paraId="2D6AFC33" w14:textId="77777777" w:rsidR="00784FA8" w:rsidRPr="002313F8" w:rsidRDefault="00D14881" w:rsidP="00C404FC">
      <w:pPr>
        <w:pStyle w:val="Blocksatz"/>
        <w:rPr>
          <w:noProof/>
          <w:lang w:eastAsia="de-DE"/>
        </w:rPr>
        <w:sectPr w:rsidR="00784FA8" w:rsidRPr="002313F8" w:rsidSect="005E74D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1134" w:left="720" w:header="709" w:footer="709" w:gutter="0"/>
          <w:cols w:space="708"/>
          <w:titlePg/>
          <w:docGrid w:linePitch="360"/>
        </w:sectPr>
      </w:pPr>
      <w:r w:rsidRPr="002313F8">
        <w:rPr>
          <w:noProof/>
          <w:lang w:val="sv-SE" w:eastAsia="sv-SE"/>
        </w:rPr>
        <w:drawing>
          <wp:anchor distT="0" distB="0" distL="114300" distR="114300" simplePos="0" relativeHeight="251658245" behindDoc="0" locked="0" layoutInCell="1" allowOverlap="1" wp14:anchorId="771331FA" wp14:editId="36714C91">
            <wp:simplePos x="0" y="0"/>
            <wp:positionH relativeFrom="rightMargin">
              <wp:posOffset>-2940685</wp:posOffset>
            </wp:positionH>
            <wp:positionV relativeFrom="insideMargin">
              <wp:posOffset>-1809115</wp:posOffset>
            </wp:positionV>
            <wp:extent cx="1514475" cy="381000"/>
            <wp:effectExtent l="19050" t="0" r="9525" b="0"/>
            <wp:wrapNone/>
            <wp:docPr id="22" name="Grafik 21" descr="Ebridg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idgeLogo-RGB.jpg"/>
                    <pic:cNvPicPr/>
                  </pic:nvPicPr>
                  <pic:blipFill>
                    <a:blip r:embed="rId18" cstate="print"/>
                    <a:stretch>
                      <a:fillRect/>
                    </a:stretch>
                  </pic:blipFill>
                  <pic:spPr>
                    <a:xfrm>
                      <a:off x="0" y="0"/>
                      <a:ext cx="1514475" cy="381000"/>
                    </a:xfrm>
                    <a:prstGeom prst="rect">
                      <a:avLst/>
                    </a:prstGeom>
                  </pic:spPr>
                </pic:pic>
              </a:graphicData>
            </a:graphic>
          </wp:anchor>
        </w:drawing>
      </w:r>
    </w:p>
    <w:p w14:paraId="00D7FBA1" w14:textId="77777777" w:rsidR="00796544" w:rsidRPr="002313F8" w:rsidRDefault="008B3680" w:rsidP="0029700E">
      <w:pPr>
        <w:pStyle w:val="Overskriftforinnholdsfortegnelse"/>
        <w:spacing w:after="480"/>
      </w:pPr>
      <w:bookmarkStart w:id="0" w:name="_Toc292805869"/>
      <w:bookmarkStart w:id="1" w:name="_Toc291065276"/>
      <w:bookmarkStart w:id="2" w:name="_Toc291065920"/>
      <w:r>
        <w:lastRenderedPageBreak/>
        <w:t>Table of contents</w:t>
      </w:r>
    </w:p>
    <w:p w14:paraId="7DF69E70" w14:textId="470119BA" w:rsidR="00A21CB6" w:rsidRDefault="00530B94">
      <w:pPr>
        <w:pStyle w:val="INNH2"/>
        <w:rPr>
          <w:rFonts w:asciiTheme="minorHAnsi" w:eastAsiaTheme="minorEastAsia" w:hAnsiTheme="minorHAnsi" w:cstheme="minorBidi"/>
          <w:b w:val="0"/>
          <w:bCs w:val="0"/>
          <w:color w:val="auto"/>
          <w:sz w:val="22"/>
          <w:szCs w:val="22"/>
          <w:lang w:val="nb-NO" w:eastAsia="nb-NO"/>
        </w:rPr>
      </w:pPr>
      <w:r w:rsidRPr="00266EBC">
        <w:rPr>
          <w:iCs/>
        </w:rPr>
        <w:fldChar w:fldCharType="begin"/>
      </w:r>
      <w:r w:rsidRPr="002313F8">
        <w:instrText xml:space="preserve"> TOC \o "2-4" \h \z \t "Überschrift 1;1;Appendix;7;Anhang Titel;6" </w:instrText>
      </w:r>
      <w:r w:rsidRPr="00266EBC">
        <w:rPr>
          <w:iCs/>
        </w:rPr>
        <w:fldChar w:fldCharType="separate"/>
      </w:r>
      <w:hyperlink w:anchor="_Toc87439989" w:history="1">
        <w:r w:rsidR="00A21CB6" w:rsidRPr="003E577A">
          <w:rPr>
            <w:rStyle w:val="Hyperkobling"/>
            <w:lang w:bidi="ar-QA"/>
          </w:rPr>
          <w:t>1.1</w:t>
        </w:r>
        <w:r w:rsidR="00A21CB6">
          <w:rPr>
            <w:rFonts w:asciiTheme="minorHAnsi" w:eastAsiaTheme="minorEastAsia" w:hAnsiTheme="minorHAnsi" w:cstheme="minorBidi"/>
            <w:b w:val="0"/>
            <w:bCs w:val="0"/>
            <w:color w:val="auto"/>
            <w:sz w:val="22"/>
            <w:szCs w:val="22"/>
            <w:lang w:val="nb-NO" w:eastAsia="nb-NO"/>
          </w:rPr>
          <w:tab/>
        </w:r>
        <w:r w:rsidR="00A21CB6" w:rsidRPr="003E577A">
          <w:rPr>
            <w:rStyle w:val="Hyperkobling"/>
            <w:lang w:bidi="ar-QA"/>
          </w:rPr>
          <w:t>Interaction with other agreements</w:t>
        </w:r>
        <w:r w:rsidR="00A21CB6">
          <w:rPr>
            <w:webHidden/>
          </w:rPr>
          <w:tab/>
        </w:r>
        <w:r w:rsidR="00A21CB6">
          <w:rPr>
            <w:webHidden/>
          </w:rPr>
          <w:fldChar w:fldCharType="begin"/>
        </w:r>
        <w:r w:rsidR="00A21CB6">
          <w:rPr>
            <w:webHidden/>
          </w:rPr>
          <w:instrText xml:space="preserve"> PAGEREF _Toc87439989 \h </w:instrText>
        </w:r>
        <w:r w:rsidR="00A21CB6">
          <w:rPr>
            <w:webHidden/>
          </w:rPr>
        </w:r>
        <w:r w:rsidR="00A21CB6">
          <w:rPr>
            <w:webHidden/>
          </w:rPr>
          <w:fldChar w:fldCharType="separate"/>
        </w:r>
        <w:r w:rsidR="00A21CB6">
          <w:rPr>
            <w:webHidden/>
          </w:rPr>
          <w:t>3</w:t>
        </w:r>
        <w:r w:rsidR="00A21CB6">
          <w:rPr>
            <w:webHidden/>
          </w:rPr>
          <w:fldChar w:fldCharType="end"/>
        </w:r>
      </w:hyperlink>
    </w:p>
    <w:p w14:paraId="79292B4A" w14:textId="4594D39C"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0" w:history="1">
        <w:r w:rsidRPr="003E577A">
          <w:rPr>
            <w:rStyle w:val="Hyperkobling"/>
            <w:lang w:bidi="ar-QA"/>
          </w:rPr>
          <w:t>1.2</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Background</w:t>
        </w:r>
        <w:r>
          <w:rPr>
            <w:webHidden/>
          </w:rPr>
          <w:tab/>
        </w:r>
        <w:r>
          <w:rPr>
            <w:webHidden/>
          </w:rPr>
          <w:fldChar w:fldCharType="begin"/>
        </w:r>
        <w:r>
          <w:rPr>
            <w:webHidden/>
          </w:rPr>
          <w:instrText xml:space="preserve"> PAGEREF _Toc87439990 \h </w:instrText>
        </w:r>
        <w:r>
          <w:rPr>
            <w:webHidden/>
          </w:rPr>
        </w:r>
        <w:r>
          <w:rPr>
            <w:webHidden/>
          </w:rPr>
          <w:fldChar w:fldCharType="separate"/>
        </w:r>
        <w:r>
          <w:rPr>
            <w:webHidden/>
          </w:rPr>
          <w:t>3</w:t>
        </w:r>
        <w:r>
          <w:rPr>
            <w:webHidden/>
          </w:rPr>
          <w:fldChar w:fldCharType="end"/>
        </w:r>
      </w:hyperlink>
    </w:p>
    <w:p w14:paraId="3B6EB8C8" w14:textId="380D5D9D"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1" w:history="1">
        <w:r w:rsidRPr="003E577A">
          <w:rPr>
            <w:rStyle w:val="Hyperkobling"/>
            <w:lang w:bidi="ar-QA"/>
          </w:rPr>
          <w:t>1.3</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This Annex</w:t>
        </w:r>
        <w:r>
          <w:rPr>
            <w:webHidden/>
          </w:rPr>
          <w:tab/>
        </w:r>
        <w:r>
          <w:rPr>
            <w:webHidden/>
          </w:rPr>
          <w:fldChar w:fldCharType="begin"/>
        </w:r>
        <w:r>
          <w:rPr>
            <w:webHidden/>
          </w:rPr>
          <w:instrText xml:space="preserve"> PAGEREF _Toc87439991 \h </w:instrText>
        </w:r>
        <w:r>
          <w:rPr>
            <w:webHidden/>
          </w:rPr>
        </w:r>
        <w:r>
          <w:rPr>
            <w:webHidden/>
          </w:rPr>
          <w:fldChar w:fldCharType="separate"/>
        </w:r>
        <w:r>
          <w:rPr>
            <w:webHidden/>
          </w:rPr>
          <w:t>4</w:t>
        </w:r>
        <w:r>
          <w:rPr>
            <w:webHidden/>
          </w:rPr>
          <w:fldChar w:fldCharType="end"/>
        </w:r>
      </w:hyperlink>
    </w:p>
    <w:p w14:paraId="21B3B716" w14:textId="29EB9E09"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2" w:history="1">
        <w:r w:rsidRPr="003E577A">
          <w:rPr>
            <w:rStyle w:val="Hyperkobling"/>
            <w:lang w:bidi="ar-QA"/>
          </w:rPr>
          <w:t>1.4</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Geographic area</w:t>
        </w:r>
        <w:r>
          <w:rPr>
            <w:webHidden/>
          </w:rPr>
          <w:tab/>
        </w:r>
        <w:r>
          <w:rPr>
            <w:webHidden/>
          </w:rPr>
          <w:fldChar w:fldCharType="begin"/>
        </w:r>
        <w:r>
          <w:rPr>
            <w:webHidden/>
          </w:rPr>
          <w:instrText xml:space="preserve"> PAGEREF _Toc87439992 \h </w:instrText>
        </w:r>
        <w:r>
          <w:rPr>
            <w:webHidden/>
          </w:rPr>
        </w:r>
        <w:r>
          <w:rPr>
            <w:webHidden/>
          </w:rPr>
          <w:fldChar w:fldCharType="separate"/>
        </w:r>
        <w:r>
          <w:rPr>
            <w:webHidden/>
          </w:rPr>
          <w:t>4</w:t>
        </w:r>
        <w:r>
          <w:rPr>
            <w:webHidden/>
          </w:rPr>
          <w:fldChar w:fldCharType="end"/>
        </w:r>
      </w:hyperlink>
    </w:p>
    <w:p w14:paraId="06838616" w14:textId="09FC815F"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3" w:history="1">
        <w:r w:rsidRPr="003E577A">
          <w:rPr>
            <w:rStyle w:val="Hyperkobling"/>
            <w:lang w:bidi="ar-QA"/>
          </w:rPr>
          <w:t>1.5</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Structure of this Annex</w:t>
        </w:r>
        <w:r>
          <w:rPr>
            <w:webHidden/>
          </w:rPr>
          <w:tab/>
        </w:r>
        <w:r>
          <w:rPr>
            <w:webHidden/>
          </w:rPr>
          <w:fldChar w:fldCharType="begin"/>
        </w:r>
        <w:r>
          <w:rPr>
            <w:webHidden/>
          </w:rPr>
          <w:instrText xml:space="preserve"> PAGEREF _Toc87439993 \h </w:instrText>
        </w:r>
        <w:r>
          <w:rPr>
            <w:webHidden/>
          </w:rPr>
        </w:r>
        <w:r>
          <w:rPr>
            <w:webHidden/>
          </w:rPr>
          <w:fldChar w:fldCharType="separate"/>
        </w:r>
        <w:r>
          <w:rPr>
            <w:webHidden/>
          </w:rPr>
          <w:t>4</w:t>
        </w:r>
        <w:r>
          <w:rPr>
            <w:webHidden/>
          </w:rPr>
          <w:fldChar w:fldCharType="end"/>
        </w:r>
      </w:hyperlink>
    </w:p>
    <w:p w14:paraId="7EBBAB37" w14:textId="4406B199"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4" w:history="1">
        <w:r w:rsidRPr="003E577A">
          <w:rPr>
            <w:rStyle w:val="Hyperkobling"/>
            <w:lang w:bidi="ar-QA"/>
          </w:rPr>
          <w:t>1.6</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Definitions</w:t>
        </w:r>
        <w:r>
          <w:rPr>
            <w:webHidden/>
          </w:rPr>
          <w:tab/>
        </w:r>
        <w:r>
          <w:rPr>
            <w:webHidden/>
          </w:rPr>
          <w:fldChar w:fldCharType="begin"/>
        </w:r>
        <w:r>
          <w:rPr>
            <w:webHidden/>
          </w:rPr>
          <w:instrText xml:space="preserve"> PAGEREF _Toc87439994 \h </w:instrText>
        </w:r>
        <w:r>
          <w:rPr>
            <w:webHidden/>
          </w:rPr>
        </w:r>
        <w:r>
          <w:rPr>
            <w:webHidden/>
          </w:rPr>
          <w:fldChar w:fldCharType="separate"/>
        </w:r>
        <w:r>
          <w:rPr>
            <w:webHidden/>
          </w:rPr>
          <w:t>5</w:t>
        </w:r>
        <w:r>
          <w:rPr>
            <w:webHidden/>
          </w:rPr>
          <w:fldChar w:fldCharType="end"/>
        </w:r>
      </w:hyperlink>
    </w:p>
    <w:p w14:paraId="00A46A26" w14:textId="6E6DB3EA"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5" w:history="1">
        <w:r w:rsidRPr="003E577A">
          <w:rPr>
            <w:rStyle w:val="Hyperkobling"/>
            <w:lang w:bidi="ar-QA"/>
          </w:rPr>
          <w:t>2.1</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Objective</w:t>
        </w:r>
        <w:r>
          <w:rPr>
            <w:webHidden/>
          </w:rPr>
          <w:tab/>
        </w:r>
        <w:r>
          <w:rPr>
            <w:webHidden/>
          </w:rPr>
          <w:fldChar w:fldCharType="begin"/>
        </w:r>
        <w:r>
          <w:rPr>
            <w:webHidden/>
          </w:rPr>
          <w:instrText xml:space="preserve"> PAGEREF _Toc87439995 \h </w:instrText>
        </w:r>
        <w:r>
          <w:rPr>
            <w:webHidden/>
          </w:rPr>
        </w:r>
        <w:r>
          <w:rPr>
            <w:webHidden/>
          </w:rPr>
          <w:fldChar w:fldCharType="separate"/>
        </w:r>
        <w:r>
          <w:rPr>
            <w:webHidden/>
          </w:rPr>
          <w:t>5</w:t>
        </w:r>
        <w:r>
          <w:rPr>
            <w:webHidden/>
          </w:rPr>
          <w:fldChar w:fldCharType="end"/>
        </w:r>
      </w:hyperlink>
    </w:p>
    <w:p w14:paraId="3E88EF60" w14:textId="212AFD65"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6" w:history="1">
        <w:r w:rsidRPr="003E577A">
          <w:rPr>
            <w:rStyle w:val="Hyperkobling"/>
            <w:lang w:bidi="ar-QA"/>
          </w:rPr>
          <w:t>2.2</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Roles &amp; Responsibilities</w:t>
        </w:r>
        <w:r>
          <w:rPr>
            <w:webHidden/>
          </w:rPr>
          <w:tab/>
        </w:r>
        <w:r>
          <w:rPr>
            <w:webHidden/>
          </w:rPr>
          <w:fldChar w:fldCharType="begin"/>
        </w:r>
        <w:r>
          <w:rPr>
            <w:webHidden/>
          </w:rPr>
          <w:instrText xml:space="preserve"> PAGEREF _Toc87439996 \h </w:instrText>
        </w:r>
        <w:r>
          <w:rPr>
            <w:webHidden/>
          </w:rPr>
        </w:r>
        <w:r>
          <w:rPr>
            <w:webHidden/>
          </w:rPr>
          <w:fldChar w:fldCharType="separate"/>
        </w:r>
        <w:r>
          <w:rPr>
            <w:webHidden/>
          </w:rPr>
          <w:t>5</w:t>
        </w:r>
        <w:r>
          <w:rPr>
            <w:webHidden/>
          </w:rPr>
          <w:fldChar w:fldCharType="end"/>
        </w:r>
      </w:hyperlink>
    </w:p>
    <w:p w14:paraId="2653F8DD" w14:textId="0AD26557"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7" w:history="1">
        <w:r w:rsidRPr="003E577A">
          <w:rPr>
            <w:rStyle w:val="Hyperkobling"/>
            <w:lang w:bidi="ar-QA"/>
          </w:rPr>
          <w:t>2.3</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Rules &amp; Methodologies</w:t>
        </w:r>
        <w:r>
          <w:rPr>
            <w:webHidden/>
          </w:rPr>
          <w:tab/>
        </w:r>
        <w:r>
          <w:rPr>
            <w:webHidden/>
          </w:rPr>
          <w:fldChar w:fldCharType="begin"/>
        </w:r>
        <w:r>
          <w:rPr>
            <w:webHidden/>
          </w:rPr>
          <w:instrText xml:space="preserve"> PAGEREF _Toc87439997 \h </w:instrText>
        </w:r>
        <w:r>
          <w:rPr>
            <w:webHidden/>
          </w:rPr>
        </w:r>
        <w:r>
          <w:rPr>
            <w:webHidden/>
          </w:rPr>
          <w:fldChar w:fldCharType="separate"/>
        </w:r>
        <w:r>
          <w:rPr>
            <w:webHidden/>
          </w:rPr>
          <w:t>6</w:t>
        </w:r>
        <w:r>
          <w:rPr>
            <w:webHidden/>
          </w:rPr>
          <w:fldChar w:fldCharType="end"/>
        </w:r>
      </w:hyperlink>
    </w:p>
    <w:p w14:paraId="7E7F040F" w14:textId="308A6C0F" w:rsidR="00A21CB6" w:rsidRDefault="00A21CB6">
      <w:pPr>
        <w:pStyle w:val="INNH3"/>
        <w:rPr>
          <w:rFonts w:asciiTheme="minorHAnsi" w:eastAsiaTheme="minorEastAsia" w:hAnsiTheme="minorHAnsi"/>
          <w:noProof/>
          <w:color w:val="auto"/>
          <w:sz w:val="22"/>
          <w:szCs w:val="22"/>
          <w:lang w:val="nb-NO" w:eastAsia="nb-NO" w:bidi="ar-SA"/>
        </w:rPr>
      </w:pPr>
      <w:hyperlink w:anchor="_Toc87439998" w:history="1">
        <w:r w:rsidRPr="003E577A">
          <w:rPr>
            <w:rStyle w:val="Hyperkobling"/>
            <w:noProof/>
          </w:rPr>
          <w:t>2.3.1</w:t>
        </w:r>
        <w:r>
          <w:rPr>
            <w:rFonts w:asciiTheme="minorHAnsi" w:eastAsiaTheme="minorEastAsia" w:hAnsiTheme="minorHAnsi"/>
            <w:noProof/>
            <w:color w:val="auto"/>
            <w:sz w:val="22"/>
            <w:szCs w:val="22"/>
            <w:lang w:val="nb-NO" w:eastAsia="nb-NO" w:bidi="ar-SA"/>
          </w:rPr>
          <w:tab/>
        </w:r>
        <w:r w:rsidRPr="003E577A">
          <w:rPr>
            <w:rStyle w:val="Hyperkobling"/>
            <w:noProof/>
          </w:rPr>
          <w:t>Common Grid Model Methodology (CGMM-v3)</w:t>
        </w:r>
        <w:r>
          <w:rPr>
            <w:noProof/>
            <w:webHidden/>
          </w:rPr>
          <w:tab/>
        </w:r>
        <w:r>
          <w:rPr>
            <w:noProof/>
            <w:webHidden/>
          </w:rPr>
          <w:fldChar w:fldCharType="begin"/>
        </w:r>
        <w:r>
          <w:rPr>
            <w:noProof/>
            <w:webHidden/>
          </w:rPr>
          <w:instrText xml:space="preserve"> PAGEREF _Toc87439998 \h </w:instrText>
        </w:r>
        <w:r>
          <w:rPr>
            <w:noProof/>
            <w:webHidden/>
          </w:rPr>
        </w:r>
        <w:r>
          <w:rPr>
            <w:noProof/>
            <w:webHidden/>
          </w:rPr>
          <w:fldChar w:fldCharType="separate"/>
        </w:r>
        <w:r>
          <w:rPr>
            <w:noProof/>
            <w:webHidden/>
          </w:rPr>
          <w:t>6</w:t>
        </w:r>
        <w:r>
          <w:rPr>
            <w:noProof/>
            <w:webHidden/>
          </w:rPr>
          <w:fldChar w:fldCharType="end"/>
        </w:r>
      </w:hyperlink>
    </w:p>
    <w:p w14:paraId="69CBA21E" w14:textId="40CFE23D"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39999" w:history="1">
        <w:r w:rsidRPr="003E577A">
          <w:rPr>
            <w:rStyle w:val="Hyperkobling"/>
            <w:lang w:bidi="ar-QA"/>
          </w:rPr>
          <w:t>2.4</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Operational Procedures</w:t>
        </w:r>
        <w:r>
          <w:rPr>
            <w:webHidden/>
          </w:rPr>
          <w:tab/>
        </w:r>
        <w:r>
          <w:rPr>
            <w:webHidden/>
          </w:rPr>
          <w:fldChar w:fldCharType="begin"/>
        </w:r>
        <w:r>
          <w:rPr>
            <w:webHidden/>
          </w:rPr>
          <w:instrText xml:space="preserve"> PAGEREF _Toc87439999 \h </w:instrText>
        </w:r>
        <w:r>
          <w:rPr>
            <w:webHidden/>
          </w:rPr>
        </w:r>
        <w:r>
          <w:rPr>
            <w:webHidden/>
          </w:rPr>
          <w:fldChar w:fldCharType="separate"/>
        </w:r>
        <w:r>
          <w:rPr>
            <w:webHidden/>
          </w:rPr>
          <w:t>6</w:t>
        </w:r>
        <w:r>
          <w:rPr>
            <w:webHidden/>
          </w:rPr>
          <w:fldChar w:fldCharType="end"/>
        </w:r>
      </w:hyperlink>
    </w:p>
    <w:p w14:paraId="44173DAD" w14:textId="6091C4B2"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00" w:history="1">
        <w:r w:rsidRPr="003E577A">
          <w:rPr>
            <w:rStyle w:val="Hyperkobling"/>
            <w:lang w:bidi="ar-QA"/>
          </w:rPr>
          <w:t>3.1</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Objective</w:t>
        </w:r>
        <w:r>
          <w:rPr>
            <w:webHidden/>
          </w:rPr>
          <w:tab/>
        </w:r>
        <w:r>
          <w:rPr>
            <w:webHidden/>
          </w:rPr>
          <w:fldChar w:fldCharType="begin"/>
        </w:r>
        <w:r>
          <w:rPr>
            <w:webHidden/>
          </w:rPr>
          <w:instrText xml:space="preserve"> PAGEREF _Toc87440000 \h </w:instrText>
        </w:r>
        <w:r>
          <w:rPr>
            <w:webHidden/>
          </w:rPr>
        </w:r>
        <w:r>
          <w:rPr>
            <w:webHidden/>
          </w:rPr>
          <w:fldChar w:fldCharType="separate"/>
        </w:r>
        <w:r>
          <w:rPr>
            <w:webHidden/>
          </w:rPr>
          <w:t>6</w:t>
        </w:r>
        <w:r>
          <w:rPr>
            <w:webHidden/>
          </w:rPr>
          <w:fldChar w:fldCharType="end"/>
        </w:r>
      </w:hyperlink>
    </w:p>
    <w:p w14:paraId="4AA5FB73" w14:textId="233DBCE0"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01" w:history="1">
        <w:r w:rsidRPr="003E577A">
          <w:rPr>
            <w:rStyle w:val="Hyperkobling"/>
            <w:lang w:bidi="ar-QA"/>
          </w:rPr>
          <w:t>3.2</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Roles &amp; Responsibilities</w:t>
        </w:r>
        <w:r>
          <w:rPr>
            <w:webHidden/>
          </w:rPr>
          <w:tab/>
        </w:r>
        <w:r>
          <w:rPr>
            <w:webHidden/>
          </w:rPr>
          <w:fldChar w:fldCharType="begin"/>
        </w:r>
        <w:r>
          <w:rPr>
            <w:webHidden/>
          </w:rPr>
          <w:instrText xml:space="preserve"> PAGEREF _Toc87440001 \h </w:instrText>
        </w:r>
        <w:r>
          <w:rPr>
            <w:webHidden/>
          </w:rPr>
        </w:r>
        <w:r>
          <w:rPr>
            <w:webHidden/>
          </w:rPr>
          <w:fldChar w:fldCharType="separate"/>
        </w:r>
        <w:r>
          <w:rPr>
            <w:webHidden/>
          </w:rPr>
          <w:t>6</w:t>
        </w:r>
        <w:r>
          <w:rPr>
            <w:webHidden/>
          </w:rPr>
          <w:fldChar w:fldCharType="end"/>
        </w:r>
      </w:hyperlink>
    </w:p>
    <w:p w14:paraId="5CAC504E" w14:textId="32BE54E1"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02" w:history="1">
        <w:r w:rsidRPr="003E577A">
          <w:rPr>
            <w:rStyle w:val="Hyperkobling"/>
            <w:lang w:bidi="ar-QA"/>
          </w:rPr>
          <w:t>3.3</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Rules &amp; Methodologies</w:t>
        </w:r>
        <w:r>
          <w:rPr>
            <w:webHidden/>
          </w:rPr>
          <w:tab/>
        </w:r>
        <w:r>
          <w:rPr>
            <w:webHidden/>
          </w:rPr>
          <w:fldChar w:fldCharType="begin"/>
        </w:r>
        <w:r>
          <w:rPr>
            <w:webHidden/>
          </w:rPr>
          <w:instrText xml:space="preserve"> PAGEREF _Toc87440002 \h </w:instrText>
        </w:r>
        <w:r>
          <w:rPr>
            <w:webHidden/>
          </w:rPr>
        </w:r>
        <w:r>
          <w:rPr>
            <w:webHidden/>
          </w:rPr>
          <w:fldChar w:fldCharType="separate"/>
        </w:r>
        <w:r>
          <w:rPr>
            <w:webHidden/>
          </w:rPr>
          <w:t>7</w:t>
        </w:r>
        <w:r>
          <w:rPr>
            <w:webHidden/>
          </w:rPr>
          <w:fldChar w:fldCharType="end"/>
        </w:r>
      </w:hyperlink>
    </w:p>
    <w:p w14:paraId="59919EE5" w14:textId="6EF22E80" w:rsidR="00A21CB6" w:rsidRDefault="00A21CB6">
      <w:pPr>
        <w:pStyle w:val="INNH3"/>
        <w:rPr>
          <w:rFonts w:asciiTheme="minorHAnsi" w:eastAsiaTheme="minorEastAsia" w:hAnsiTheme="minorHAnsi"/>
          <w:noProof/>
          <w:color w:val="auto"/>
          <w:sz w:val="22"/>
          <w:szCs w:val="22"/>
          <w:lang w:val="nb-NO" w:eastAsia="nb-NO" w:bidi="ar-SA"/>
        </w:rPr>
      </w:pPr>
      <w:hyperlink w:anchor="_Toc87440003" w:history="1">
        <w:r w:rsidRPr="003E577A">
          <w:rPr>
            <w:rStyle w:val="Hyperkobling"/>
            <w:noProof/>
          </w:rPr>
          <w:t>3.3.1</w:t>
        </w:r>
        <w:r>
          <w:rPr>
            <w:rFonts w:asciiTheme="minorHAnsi" w:eastAsiaTheme="minorEastAsia" w:hAnsiTheme="minorHAnsi"/>
            <w:noProof/>
            <w:color w:val="auto"/>
            <w:sz w:val="22"/>
            <w:szCs w:val="22"/>
            <w:lang w:val="nb-NO" w:eastAsia="nb-NO" w:bidi="ar-SA"/>
          </w:rPr>
          <w:tab/>
        </w:r>
        <w:r w:rsidRPr="003E577A">
          <w:rPr>
            <w:rStyle w:val="Hyperkobling"/>
            <w:noProof/>
          </w:rPr>
          <w:t>Coordinated Security Analysis Methodology (CSAM)</w:t>
        </w:r>
        <w:r>
          <w:rPr>
            <w:noProof/>
            <w:webHidden/>
          </w:rPr>
          <w:tab/>
        </w:r>
        <w:r>
          <w:rPr>
            <w:noProof/>
            <w:webHidden/>
          </w:rPr>
          <w:fldChar w:fldCharType="begin"/>
        </w:r>
        <w:r>
          <w:rPr>
            <w:noProof/>
            <w:webHidden/>
          </w:rPr>
          <w:instrText xml:space="preserve"> PAGEREF _Toc87440003 \h </w:instrText>
        </w:r>
        <w:r>
          <w:rPr>
            <w:noProof/>
            <w:webHidden/>
          </w:rPr>
        </w:r>
        <w:r>
          <w:rPr>
            <w:noProof/>
            <w:webHidden/>
          </w:rPr>
          <w:fldChar w:fldCharType="separate"/>
        </w:r>
        <w:r>
          <w:rPr>
            <w:noProof/>
            <w:webHidden/>
          </w:rPr>
          <w:t>7</w:t>
        </w:r>
        <w:r>
          <w:rPr>
            <w:noProof/>
            <w:webHidden/>
          </w:rPr>
          <w:fldChar w:fldCharType="end"/>
        </w:r>
      </w:hyperlink>
    </w:p>
    <w:p w14:paraId="428999DF" w14:textId="5791572D" w:rsidR="00A21CB6" w:rsidRDefault="00A21CB6">
      <w:pPr>
        <w:pStyle w:val="INNH3"/>
        <w:rPr>
          <w:rFonts w:asciiTheme="minorHAnsi" w:eastAsiaTheme="minorEastAsia" w:hAnsiTheme="minorHAnsi"/>
          <w:noProof/>
          <w:color w:val="auto"/>
          <w:sz w:val="22"/>
          <w:szCs w:val="22"/>
          <w:lang w:val="nb-NO" w:eastAsia="nb-NO" w:bidi="ar-SA"/>
        </w:rPr>
      </w:pPr>
      <w:hyperlink w:anchor="_Toc87440004" w:history="1">
        <w:r w:rsidRPr="003E577A">
          <w:rPr>
            <w:rStyle w:val="Hyperkobling"/>
            <w:noProof/>
          </w:rPr>
          <w:t>3.3.2</w:t>
        </w:r>
        <w:r>
          <w:rPr>
            <w:rFonts w:asciiTheme="minorHAnsi" w:eastAsiaTheme="minorEastAsia" w:hAnsiTheme="minorHAnsi"/>
            <w:noProof/>
            <w:color w:val="auto"/>
            <w:sz w:val="22"/>
            <w:szCs w:val="22"/>
            <w:lang w:val="nb-NO" w:eastAsia="nb-NO" w:bidi="ar-SA"/>
          </w:rPr>
          <w:tab/>
        </w:r>
        <w:r w:rsidRPr="003E577A">
          <w:rPr>
            <w:rStyle w:val="Hyperkobling"/>
            <w:noProof/>
          </w:rPr>
          <w:t>Nordic ROSC Methodology (NROSC)</w:t>
        </w:r>
        <w:r>
          <w:rPr>
            <w:noProof/>
            <w:webHidden/>
          </w:rPr>
          <w:tab/>
        </w:r>
        <w:r>
          <w:rPr>
            <w:noProof/>
            <w:webHidden/>
          </w:rPr>
          <w:fldChar w:fldCharType="begin"/>
        </w:r>
        <w:r>
          <w:rPr>
            <w:noProof/>
            <w:webHidden/>
          </w:rPr>
          <w:instrText xml:space="preserve"> PAGEREF _Toc87440004 \h </w:instrText>
        </w:r>
        <w:r>
          <w:rPr>
            <w:noProof/>
            <w:webHidden/>
          </w:rPr>
        </w:r>
        <w:r>
          <w:rPr>
            <w:noProof/>
            <w:webHidden/>
          </w:rPr>
          <w:fldChar w:fldCharType="separate"/>
        </w:r>
        <w:r>
          <w:rPr>
            <w:noProof/>
            <w:webHidden/>
          </w:rPr>
          <w:t>7</w:t>
        </w:r>
        <w:r>
          <w:rPr>
            <w:noProof/>
            <w:webHidden/>
          </w:rPr>
          <w:fldChar w:fldCharType="end"/>
        </w:r>
      </w:hyperlink>
    </w:p>
    <w:p w14:paraId="33E0E252" w14:textId="3DB481F5"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05" w:history="1">
        <w:r w:rsidRPr="003E577A">
          <w:rPr>
            <w:rStyle w:val="Hyperkobling"/>
            <w:lang w:bidi="ar-QA"/>
          </w:rPr>
          <w:t>3.4</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Operational Procedures</w:t>
        </w:r>
        <w:r>
          <w:rPr>
            <w:webHidden/>
          </w:rPr>
          <w:tab/>
        </w:r>
        <w:r>
          <w:rPr>
            <w:webHidden/>
          </w:rPr>
          <w:fldChar w:fldCharType="begin"/>
        </w:r>
        <w:r>
          <w:rPr>
            <w:webHidden/>
          </w:rPr>
          <w:instrText xml:space="preserve"> PAGEREF _Toc87440005 \h </w:instrText>
        </w:r>
        <w:r>
          <w:rPr>
            <w:webHidden/>
          </w:rPr>
        </w:r>
        <w:r>
          <w:rPr>
            <w:webHidden/>
          </w:rPr>
          <w:fldChar w:fldCharType="separate"/>
        </w:r>
        <w:r>
          <w:rPr>
            <w:webHidden/>
          </w:rPr>
          <w:t>7</w:t>
        </w:r>
        <w:r>
          <w:rPr>
            <w:webHidden/>
          </w:rPr>
          <w:fldChar w:fldCharType="end"/>
        </w:r>
      </w:hyperlink>
    </w:p>
    <w:p w14:paraId="55572341" w14:textId="5B3769E7"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06" w:history="1">
        <w:r w:rsidRPr="003E577A">
          <w:rPr>
            <w:rStyle w:val="Hyperkobling"/>
            <w:lang w:bidi="ar-QA"/>
          </w:rPr>
          <w:t>4.1</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Objective</w:t>
        </w:r>
        <w:r>
          <w:rPr>
            <w:webHidden/>
          </w:rPr>
          <w:tab/>
        </w:r>
        <w:r>
          <w:rPr>
            <w:webHidden/>
          </w:rPr>
          <w:fldChar w:fldCharType="begin"/>
        </w:r>
        <w:r>
          <w:rPr>
            <w:webHidden/>
          </w:rPr>
          <w:instrText xml:space="preserve"> PAGEREF _Toc87440006 \h </w:instrText>
        </w:r>
        <w:r>
          <w:rPr>
            <w:webHidden/>
          </w:rPr>
        </w:r>
        <w:r>
          <w:rPr>
            <w:webHidden/>
          </w:rPr>
          <w:fldChar w:fldCharType="separate"/>
        </w:r>
        <w:r>
          <w:rPr>
            <w:webHidden/>
          </w:rPr>
          <w:t>7</w:t>
        </w:r>
        <w:r>
          <w:rPr>
            <w:webHidden/>
          </w:rPr>
          <w:fldChar w:fldCharType="end"/>
        </w:r>
      </w:hyperlink>
    </w:p>
    <w:p w14:paraId="0AF048B0" w14:textId="0FBFF5C6"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07" w:history="1">
        <w:r w:rsidRPr="003E577A">
          <w:rPr>
            <w:rStyle w:val="Hyperkobling"/>
            <w:lang w:bidi="ar-QA"/>
          </w:rPr>
          <w:t>4.2</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Roles &amp; Responsibilities</w:t>
        </w:r>
        <w:r>
          <w:rPr>
            <w:webHidden/>
          </w:rPr>
          <w:tab/>
        </w:r>
        <w:r>
          <w:rPr>
            <w:webHidden/>
          </w:rPr>
          <w:fldChar w:fldCharType="begin"/>
        </w:r>
        <w:r>
          <w:rPr>
            <w:webHidden/>
          </w:rPr>
          <w:instrText xml:space="preserve"> PAGEREF _Toc87440007 \h </w:instrText>
        </w:r>
        <w:r>
          <w:rPr>
            <w:webHidden/>
          </w:rPr>
        </w:r>
        <w:r>
          <w:rPr>
            <w:webHidden/>
          </w:rPr>
          <w:fldChar w:fldCharType="separate"/>
        </w:r>
        <w:r>
          <w:rPr>
            <w:webHidden/>
          </w:rPr>
          <w:t>8</w:t>
        </w:r>
        <w:r>
          <w:rPr>
            <w:webHidden/>
          </w:rPr>
          <w:fldChar w:fldCharType="end"/>
        </w:r>
      </w:hyperlink>
    </w:p>
    <w:p w14:paraId="3F2133C5" w14:textId="365F18FF"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08" w:history="1">
        <w:r w:rsidRPr="003E577A">
          <w:rPr>
            <w:rStyle w:val="Hyperkobling"/>
            <w:lang w:bidi="ar-QA"/>
          </w:rPr>
          <w:t>4.3</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Rules &amp; Methodologies</w:t>
        </w:r>
        <w:r>
          <w:rPr>
            <w:webHidden/>
          </w:rPr>
          <w:tab/>
        </w:r>
        <w:r>
          <w:rPr>
            <w:webHidden/>
          </w:rPr>
          <w:fldChar w:fldCharType="begin"/>
        </w:r>
        <w:r>
          <w:rPr>
            <w:webHidden/>
          </w:rPr>
          <w:instrText xml:space="preserve"> PAGEREF _Toc87440008 \h </w:instrText>
        </w:r>
        <w:r>
          <w:rPr>
            <w:webHidden/>
          </w:rPr>
        </w:r>
        <w:r>
          <w:rPr>
            <w:webHidden/>
          </w:rPr>
          <w:fldChar w:fldCharType="separate"/>
        </w:r>
        <w:r>
          <w:rPr>
            <w:webHidden/>
          </w:rPr>
          <w:t>8</w:t>
        </w:r>
        <w:r>
          <w:rPr>
            <w:webHidden/>
          </w:rPr>
          <w:fldChar w:fldCharType="end"/>
        </w:r>
      </w:hyperlink>
    </w:p>
    <w:p w14:paraId="77CBF05E" w14:textId="4ABD1C78" w:rsidR="00A21CB6" w:rsidRDefault="00A21CB6">
      <w:pPr>
        <w:pStyle w:val="INNH3"/>
        <w:rPr>
          <w:rFonts w:asciiTheme="minorHAnsi" w:eastAsiaTheme="minorEastAsia" w:hAnsiTheme="minorHAnsi"/>
          <w:noProof/>
          <w:color w:val="auto"/>
          <w:sz w:val="22"/>
          <w:szCs w:val="22"/>
          <w:lang w:val="nb-NO" w:eastAsia="nb-NO" w:bidi="ar-SA"/>
        </w:rPr>
      </w:pPr>
      <w:hyperlink w:anchor="_Toc87440009" w:history="1">
        <w:r w:rsidRPr="003E577A">
          <w:rPr>
            <w:rStyle w:val="Hyperkobling"/>
            <w:noProof/>
          </w:rPr>
          <w:t>4.3.1</w:t>
        </w:r>
        <w:r>
          <w:rPr>
            <w:rFonts w:asciiTheme="minorHAnsi" w:eastAsiaTheme="minorEastAsia" w:hAnsiTheme="minorHAnsi"/>
            <w:noProof/>
            <w:color w:val="auto"/>
            <w:sz w:val="22"/>
            <w:szCs w:val="22"/>
            <w:lang w:val="nb-NO" w:eastAsia="nb-NO" w:bidi="ar-SA"/>
          </w:rPr>
          <w:tab/>
        </w:r>
        <w:r w:rsidRPr="003E577A">
          <w:rPr>
            <w:rStyle w:val="Hyperkobling"/>
            <w:noProof/>
          </w:rPr>
          <w:t>Relevant Asset Outage Coordination Methodology (RAOCM)</w:t>
        </w:r>
        <w:r>
          <w:rPr>
            <w:noProof/>
            <w:webHidden/>
          </w:rPr>
          <w:tab/>
        </w:r>
        <w:r>
          <w:rPr>
            <w:noProof/>
            <w:webHidden/>
          </w:rPr>
          <w:fldChar w:fldCharType="begin"/>
        </w:r>
        <w:r>
          <w:rPr>
            <w:noProof/>
            <w:webHidden/>
          </w:rPr>
          <w:instrText xml:space="preserve"> PAGEREF _Toc87440009 \h </w:instrText>
        </w:r>
        <w:r>
          <w:rPr>
            <w:noProof/>
            <w:webHidden/>
          </w:rPr>
        </w:r>
        <w:r>
          <w:rPr>
            <w:noProof/>
            <w:webHidden/>
          </w:rPr>
          <w:fldChar w:fldCharType="separate"/>
        </w:r>
        <w:r>
          <w:rPr>
            <w:noProof/>
            <w:webHidden/>
          </w:rPr>
          <w:t>8</w:t>
        </w:r>
        <w:r>
          <w:rPr>
            <w:noProof/>
            <w:webHidden/>
          </w:rPr>
          <w:fldChar w:fldCharType="end"/>
        </w:r>
      </w:hyperlink>
    </w:p>
    <w:p w14:paraId="65D14440" w14:textId="3BE5D151"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10" w:history="1">
        <w:r w:rsidRPr="003E577A">
          <w:rPr>
            <w:rStyle w:val="Hyperkobling"/>
            <w:lang w:bidi="ar-QA"/>
          </w:rPr>
          <w:t>4.4</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Operational Procedures</w:t>
        </w:r>
        <w:r>
          <w:rPr>
            <w:webHidden/>
          </w:rPr>
          <w:tab/>
        </w:r>
        <w:r>
          <w:rPr>
            <w:webHidden/>
          </w:rPr>
          <w:fldChar w:fldCharType="begin"/>
        </w:r>
        <w:r>
          <w:rPr>
            <w:webHidden/>
          </w:rPr>
          <w:instrText xml:space="preserve"> PAGEREF _Toc87440010 \h </w:instrText>
        </w:r>
        <w:r>
          <w:rPr>
            <w:webHidden/>
          </w:rPr>
        </w:r>
        <w:r>
          <w:rPr>
            <w:webHidden/>
          </w:rPr>
          <w:fldChar w:fldCharType="separate"/>
        </w:r>
        <w:r>
          <w:rPr>
            <w:webHidden/>
          </w:rPr>
          <w:t>8</w:t>
        </w:r>
        <w:r>
          <w:rPr>
            <w:webHidden/>
          </w:rPr>
          <w:fldChar w:fldCharType="end"/>
        </w:r>
      </w:hyperlink>
    </w:p>
    <w:p w14:paraId="28344011" w14:textId="250E66C2" w:rsidR="00A21CB6" w:rsidRDefault="00A21CB6">
      <w:pPr>
        <w:pStyle w:val="INNH3"/>
        <w:rPr>
          <w:rFonts w:asciiTheme="minorHAnsi" w:eastAsiaTheme="minorEastAsia" w:hAnsiTheme="minorHAnsi"/>
          <w:noProof/>
          <w:color w:val="auto"/>
          <w:sz w:val="22"/>
          <w:szCs w:val="22"/>
          <w:lang w:val="nb-NO" w:eastAsia="nb-NO" w:bidi="ar-SA"/>
        </w:rPr>
      </w:pPr>
      <w:hyperlink w:anchor="_Toc87440011" w:history="1">
        <w:r w:rsidRPr="003E577A">
          <w:rPr>
            <w:rStyle w:val="Hyperkobling"/>
            <w:noProof/>
          </w:rPr>
          <w:t>4.4.1</w:t>
        </w:r>
        <w:r>
          <w:rPr>
            <w:rFonts w:asciiTheme="minorHAnsi" w:eastAsiaTheme="minorEastAsia" w:hAnsiTheme="minorHAnsi"/>
            <w:noProof/>
            <w:color w:val="auto"/>
            <w:sz w:val="22"/>
            <w:szCs w:val="22"/>
            <w:lang w:val="nb-NO" w:eastAsia="nb-NO" w:bidi="ar-SA"/>
          </w:rPr>
          <w:tab/>
        </w:r>
        <w:r w:rsidRPr="003E577A">
          <w:rPr>
            <w:rStyle w:val="Hyperkobling"/>
            <w:noProof/>
          </w:rPr>
          <w:t>Operational Procedure for Outage Planning Coordination</w:t>
        </w:r>
        <w:r>
          <w:rPr>
            <w:noProof/>
            <w:webHidden/>
          </w:rPr>
          <w:tab/>
        </w:r>
        <w:r>
          <w:rPr>
            <w:noProof/>
            <w:webHidden/>
          </w:rPr>
          <w:fldChar w:fldCharType="begin"/>
        </w:r>
        <w:r>
          <w:rPr>
            <w:noProof/>
            <w:webHidden/>
          </w:rPr>
          <w:instrText xml:space="preserve"> PAGEREF _Toc87440011 \h </w:instrText>
        </w:r>
        <w:r>
          <w:rPr>
            <w:noProof/>
            <w:webHidden/>
          </w:rPr>
        </w:r>
        <w:r>
          <w:rPr>
            <w:noProof/>
            <w:webHidden/>
          </w:rPr>
          <w:fldChar w:fldCharType="separate"/>
        </w:r>
        <w:r>
          <w:rPr>
            <w:noProof/>
            <w:webHidden/>
          </w:rPr>
          <w:t>8</w:t>
        </w:r>
        <w:r>
          <w:rPr>
            <w:noProof/>
            <w:webHidden/>
          </w:rPr>
          <w:fldChar w:fldCharType="end"/>
        </w:r>
      </w:hyperlink>
    </w:p>
    <w:p w14:paraId="778A8678" w14:textId="37BB7035"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12" w:history="1">
        <w:r w:rsidRPr="003E577A">
          <w:rPr>
            <w:rStyle w:val="Hyperkobling"/>
            <w:lang w:bidi="ar-QA"/>
          </w:rPr>
          <w:t>5.1</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Objective</w:t>
        </w:r>
        <w:r>
          <w:rPr>
            <w:webHidden/>
          </w:rPr>
          <w:tab/>
        </w:r>
        <w:r>
          <w:rPr>
            <w:webHidden/>
          </w:rPr>
          <w:fldChar w:fldCharType="begin"/>
        </w:r>
        <w:r>
          <w:rPr>
            <w:webHidden/>
          </w:rPr>
          <w:instrText xml:space="preserve"> PAGEREF _Toc87440012 \h </w:instrText>
        </w:r>
        <w:r>
          <w:rPr>
            <w:webHidden/>
          </w:rPr>
        </w:r>
        <w:r>
          <w:rPr>
            <w:webHidden/>
          </w:rPr>
          <w:fldChar w:fldCharType="separate"/>
        </w:r>
        <w:r>
          <w:rPr>
            <w:webHidden/>
          </w:rPr>
          <w:t>8</w:t>
        </w:r>
        <w:r>
          <w:rPr>
            <w:webHidden/>
          </w:rPr>
          <w:fldChar w:fldCharType="end"/>
        </w:r>
      </w:hyperlink>
    </w:p>
    <w:p w14:paraId="18558F93" w14:textId="35CAC5D1"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13" w:history="1">
        <w:r w:rsidRPr="003E577A">
          <w:rPr>
            <w:rStyle w:val="Hyperkobling"/>
            <w:lang w:bidi="ar-QA"/>
          </w:rPr>
          <w:t>5.2</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Roles &amp; Responsibilities</w:t>
        </w:r>
        <w:r>
          <w:rPr>
            <w:webHidden/>
          </w:rPr>
          <w:tab/>
        </w:r>
        <w:r>
          <w:rPr>
            <w:webHidden/>
          </w:rPr>
          <w:fldChar w:fldCharType="begin"/>
        </w:r>
        <w:r>
          <w:rPr>
            <w:webHidden/>
          </w:rPr>
          <w:instrText xml:space="preserve"> PAGEREF _Toc87440013 \h </w:instrText>
        </w:r>
        <w:r>
          <w:rPr>
            <w:webHidden/>
          </w:rPr>
        </w:r>
        <w:r>
          <w:rPr>
            <w:webHidden/>
          </w:rPr>
          <w:fldChar w:fldCharType="separate"/>
        </w:r>
        <w:r>
          <w:rPr>
            <w:webHidden/>
          </w:rPr>
          <w:t>8</w:t>
        </w:r>
        <w:r>
          <w:rPr>
            <w:webHidden/>
          </w:rPr>
          <w:fldChar w:fldCharType="end"/>
        </w:r>
      </w:hyperlink>
    </w:p>
    <w:p w14:paraId="2571B61F" w14:textId="65314BB4"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14" w:history="1">
        <w:r w:rsidRPr="003E577A">
          <w:rPr>
            <w:rStyle w:val="Hyperkobling"/>
            <w:lang w:bidi="ar-QA"/>
          </w:rPr>
          <w:t>5.3</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Operational Procedures</w:t>
        </w:r>
        <w:r>
          <w:rPr>
            <w:webHidden/>
          </w:rPr>
          <w:tab/>
        </w:r>
        <w:r>
          <w:rPr>
            <w:webHidden/>
          </w:rPr>
          <w:fldChar w:fldCharType="begin"/>
        </w:r>
        <w:r>
          <w:rPr>
            <w:webHidden/>
          </w:rPr>
          <w:instrText xml:space="preserve"> PAGEREF _Toc87440014 \h </w:instrText>
        </w:r>
        <w:r>
          <w:rPr>
            <w:webHidden/>
          </w:rPr>
        </w:r>
        <w:r>
          <w:rPr>
            <w:webHidden/>
          </w:rPr>
          <w:fldChar w:fldCharType="separate"/>
        </w:r>
        <w:r>
          <w:rPr>
            <w:webHidden/>
          </w:rPr>
          <w:t>9</w:t>
        </w:r>
        <w:r>
          <w:rPr>
            <w:webHidden/>
          </w:rPr>
          <w:fldChar w:fldCharType="end"/>
        </w:r>
      </w:hyperlink>
    </w:p>
    <w:p w14:paraId="16649430" w14:textId="55CFE225" w:rsidR="00A21CB6" w:rsidRDefault="00A21CB6">
      <w:pPr>
        <w:pStyle w:val="INNH3"/>
        <w:rPr>
          <w:rFonts w:asciiTheme="minorHAnsi" w:eastAsiaTheme="minorEastAsia" w:hAnsiTheme="minorHAnsi"/>
          <w:noProof/>
          <w:color w:val="auto"/>
          <w:sz w:val="22"/>
          <w:szCs w:val="22"/>
          <w:lang w:val="nb-NO" w:eastAsia="nb-NO" w:bidi="ar-SA"/>
        </w:rPr>
      </w:pPr>
      <w:hyperlink w:anchor="_Toc87440015" w:history="1">
        <w:r w:rsidRPr="003E577A">
          <w:rPr>
            <w:rStyle w:val="Hyperkobling"/>
            <w:noProof/>
          </w:rPr>
          <w:t>5.3.1</w:t>
        </w:r>
        <w:r>
          <w:rPr>
            <w:rFonts w:asciiTheme="minorHAnsi" w:eastAsiaTheme="minorEastAsia" w:hAnsiTheme="minorHAnsi"/>
            <w:noProof/>
            <w:color w:val="auto"/>
            <w:sz w:val="22"/>
            <w:szCs w:val="22"/>
            <w:lang w:val="nb-NO" w:eastAsia="nb-NO" w:bidi="ar-SA"/>
          </w:rPr>
          <w:tab/>
        </w:r>
        <w:r w:rsidRPr="003E577A">
          <w:rPr>
            <w:rStyle w:val="Hyperkobling"/>
            <w:noProof/>
          </w:rPr>
          <w:t>Operational Procedure for Adequacy Assessment</w:t>
        </w:r>
        <w:r>
          <w:rPr>
            <w:noProof/>
            <w:webHidden/>
          </w:rPr>
          <w:tab/>
        </w:r>
        <w:r>
          <w:rPr>
            <w:noProof/>
            <w:webHidden/>
          </w:rPr>
          <w:fldChar w:fldCharType="begin"/>
        </w:r>
        <w:r>
          <w:rPr>
            <w:noProof/>
            <w:webHidden/>
          </w:rPr>
          <w:instrText xml:space="preserve"> PAGEREF _Toc87440015 \h </w:instrText>
        </w:r>
        <w:r>
          <w:rPr>
            <w:noProof/>
            <w:webHidden/>
          </w:rPr>
        </w:r>
        <w:r>
          <w:rPr>
            <w:noProof/>
            <w:webHidden/>
          </w:rPr>
          <w:fldChar w:fldCharType="separate"/>
        </w:r>
        <w:r>
          <w:rPr>
            <w:noProof/>
            <w:webHidden/>
          </w:rPr>
          <w:t>9</w:t>
        </w:r>
        <w:r>
          <w:rPr>
            <w:noProof/>
            <w:webHidden/>
          </w:rPr>
          <w:fldChar w:fldCharType="end"/>
        </w:r>
      </w:hyperlink>
    </w:p>
    <w:p w14:paraId="2B95AF82" w14:textId="5B351C9B"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16" w:history="1">
        <w:r w:rsidRPr="003E577A">
          <w:rPr>
            <w:rStyle w:val="Hyperkobling"/>
            <w:lang w:bidi="ar-QA"/>
          </w:rPr>
          <w:t>6.1</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Objective</w:t>
        </w:r>
        <w:r>
          <w:rPr>
            <w:webHidden/>
          </w:rPr>
          <w:tab/>
        </w:r>
        <w:r>
          <w:rPr>
            <w:webHidden/>
          </w:rPr>
          <w:fldChar w:fldCharType="begin"/>
        </w:r>
        <w:r>
          <w:rPr>
            <w:webHidden/>
          </w:rPr>
          <w:instrText xml:space="preserve"> PAGEREF _Toc87440016 \h </w:instrText>
        </w:r>
        <w:r>
          <w:rPr>
            <w:webHidden/>
          </w:rPr>
        </w:r>
        <w:r>
          <w:rPr>
            <w:webHidden/>
          </w:rPr>
          <w:fldChar w:fldCharType="separate"/>
        </w:r>
        <w:r>
          <w:rPr>
            <w:webHidden/>
          </w:rPr>
          <w:t>9</w:t>
        </w:r>
        <w:r>
          <w:rPr>
            <w:webHidden/>
          </w:rPr>
          <w:fldChar w:fldCharType="end"/>
        </w:r>
      </w:hyperlink>
    </w:p>
    <w:p w14:paraId="287ADF4D" w14:textId="77155EE6" w:rsidR="00A21CB6" w:rsidRDefault="00A21CB6">
      <w:pPr>
        <w:pStyle w:val="INNH2"/>
        <w:rPr>
          <w:rFonts w:asciiTheme="minorHAnsi" w:eastAsiaTheme="minorEastAsia" w:hAnsiTheme="minorHAnsi" w:cstheme="minorBidi"/>
          <w:b w:val="0"/>
          <w:bCs w:val="0"/>
          <w:color w:val="auto"/>
          <w:sz w:val="22"/>
          <w:szCs w:val="22"/>
          <w:lang w:val="nb-NO" w:eastAsia="nb-NO"/>
        </w:rPr>
      </w:pPr>
      <w:hyperlink w:anchor="_Toc87440017" w:history="1">
        <w:r w:rsidRPr="003E577A">
          <w:rPr>
            <w:rStyle w:val="Hyperkobling"/>
            <w:lang w:bidi="ar-QA"/>
          </w:rPr>
          <w:t>6.2</w:t>
        </w:r>
        <w:r>
          <w:rPr>
            <w:rFonts w:asciiTheme="minorHAnsi" w:eastAsiaTheme="minorEastAsia" w:hAnsiTheme="minorHAnsi" w:cstheme="minorBidi"/>
            <w:b w:val="0"/>
            <w:bCs w:val="0"/>
            <w:color w:val="auto"/>
            <w:sz w:val="22"/>
            <w:szCs w:val="22"/>
            <w:lang w:val="nb-NO" w:eastAsia="nb-NO"/>
          </w:rPr>
          <w:tab/>
        </w:r>
        <w:r w:rsidRPr="003E577A">
          <w:rPr>
            <w:rStyle w:val="Hyperkobling"/>
            <w:lang w:bidi="ar-QA"/>
          </w:rPr>
          <w:t>Roles &amp; Responsibilities</w:t>
        </w:r>
        <w:r>
          <w:rPr>
            <w:webHidden/>
          </w:rPr>
          <w:tab/>
        </w:r>
        <w:r>
          <w:rPr>
            <w:webHidden/>
          </w:rPr>
          <w:fldChar w:fldCharType="begin"/>
        </w:r>
        <w:r>
          <w:rPr>
            <w:webHidden/>
          </w:rPr>
          <w:instrText xml:space="preserve"> PAGEREF _Toc87440017 \h </w:instrText>
        </w:r>
        <w:r>
          <w:rPr>
            <w:webHidden/>
          </w:rPr>
        </w:r>
        <w:r>
          <w:rPr>
            <w:webHidden/>
          </w:rPr>
          <w:fldChar w:fldCharType="separate"/>
        </w:r>
        <w:r>
          <w:rPr>
            <w:webHidden/>
          </w:rPr>
          <w:t>9</w:t>
        </w:r>
        <w:r>
          <w:rPr>
            <w:webHidden/>
          </w:rPr>
          <w:fldChar w:fldCharType="end"/>
        </w:r>
      </w:hyperlink>
    </w:p>
    <w:p w14:paraId="123A90A1" w14:textId="0CD554FB" w:rsidR="00266EBC" w:rsidRDefault="00530B94" w:rsidP="00F31367">
      <w:pPr>
        <w:pStyle w:val="BlocksatzEinzug"/>
        <w:rPr>
          <w:b/>
          <w:bCs/>
        </w:rPr>
      </w:pPr>
      <w:r w:rsidRPr="00266EBC">
        <w:rPr>
          <w:rFonts w:cstheme="minorHAnsi"/>
          <w:noProof/>
          <w:color w:val="6F7072"/>
          <w:sz w:val="24"/>
          <w:szCs w:val="24"/>
        </w:rPr>
        <w:fldChar w:fldCharType="end"/>
      </w:r>
      <w:bookmarkEnd w:id="0"/>
      <w:bookmarkEnd w:id="1"/>
      <w:bookmarkEnd w:id="2"/>
      <w:r w:rsidR="00266EBC">
        <w:br w:type="page"/>
      </w:r>
    </w:p>
    <w:p w14:paraId="2319F737" w14:textId="6C2C25BC" w:rsidR="0093376D" w:rsidRDefault="0093376D" w:rsidP="001A5BDD">
      <w:pPr>
        <w:pStyle w:val="Overskrift1"/>
      </w:pPr>
      <w:r>
        <w:lastRenderedPageBreak/>
        <w:t>Introduction</w:t>
      </w:r>
    </w:p>
    <w:p w14:paraId="487A996F" w14:textId="77777777" w:rsidR="00005969" w:rsidRPr="005E0B3F" w:rsidRDefault="00005969" w:rsidP="00005969">
      <w:pPr>
        <w:pStyle w:val="Overskrift2"/>
      </w:pPr>
      <w:bookmarkStart w:id="3" w:name="_Toc15982289"/>
      <w:bookmarkStart w:id="4" w:name="_Toc87439989"/>
      <w:r w:rsidRPr="005E0B3F">
        <w:t xml:space="preserve">Interaction with other </w:t>
      </w:r>
      <w:r>
        <w:t>a</w:t>
      </w:r>
      <w:r w:rsidRPr="005E0B3F">
        <w:t>greements</w:t>
      </w:r>
      <w:bookmarkEnd w:id="3"/>
      <w:bookmarkEnd w:id="4"/>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EB5463" w:rsidRPr="00A7450A" w14:paraId="34A8B790" w14:textId="77777777" w:rsidTr="00EB5463">
        <w:trPr>
          <w:trHeight w:val="893"/>
        </w:trPr>
        <w:tc>
          <w:tcPr>
            <w:tcW w:w="7370" w:type="dxa"/>
            <w:tcBorders>
              <w:right w:val="single" w:sz="4" w:space="0" w:color="auto"/>
            </w:tcBorders>
          </w:tcPr>
          <w:p w14:paraId="1E2DA338" w14:textId="5A508D5A" w:rsidR="005109E8" w:rsidRDefault="005109E8" w:rsidP="005E66A5">
            <w:pPr>
              <w:pStyle w:val="Blocksatz"/>
            </w:pPr>
            <w:r>
              <w:t xml:space="preserve">This Annex is part of the System Operation Agreement. This </w:t>
            </w:r>
            <w:r w:rsidRPr="005109E8">
              <w:t>Annex makes references to the requirements set up in</w:t>
            </w:r>
            <w:r>
              <w:t>:</w:t>
            </w:r>
          </w:p>
          <w:p w14:paraId="543AF6C7" w14:textId="751A0389" w:rsidR="005109E8" w:rsidRDefault="005109E8" w:rsidP="005E66A5">
            <w:pPr>
              <w:pStyle w:val="Blocksatz"/>
            </w:pPr>
          </w:p>
          <w:p w14:paraId="02069768" w14:textId="7EA91F39" w:rsidR="005109E8" w:rsidRDefault="005109E8" w:rsidP="005109E8">
            <w:pPr>
              <w:pStyle w:val="Blocksatz"/>
              <w:numPr>
                <w:ilvl w:val="0"/>
                <w:numId w:val="42"/>
              </w:numPr>
            </w:pPr>
            <w:r>
              <w:t xml:space="preserve">Commission Regulation (EU) 2017/1485 of 2 August 2017 establishing a guideline on electricity transmission system operation </w:t>
            </w:r>
            <w:r w:rsidRPr="003E279C">
              <w:t>(hereinafter referred to as “</w:t>
            </w:r>
            <w:r w:rsidRPr="00E1208D">
              <w:t>SOGL</w:t>
            </w:r>
            <w:r w:rsidRPr="003E279C">
              <w:t>”</w:t>
            </w:r>
            <w:proofErr w:type="gramStart"/>
            <w:r w:rsidRPr="003E279C">
              <w:t>)</w:t>
            </w:r>
            <w:r w:rsidR="00A7450A">
              <w:t>;</w:t>
            </w:r>
            <w:proofErr w:type="gramEnd"/>
          </w:p>
          <w:p w14:paraId="2A93460D" w14:textId="3B5D475A" w:rsidR="00B034C1" w:rsidRPr="00B034C1" w:rsidRDefault="00B034C1" w:rsidP="00B034C1">
            <w:pPr>
              <w:pStyle w:val="Listeavsnitt"/>
              <w:numPr>
                <w:ilvl w:val="0"/>
                <w:numId w:val="42"/>
              </w:numPr>
            </w:pPr>
            <w:r w:rsidRPr="00B034C1">
              <w:t>Commission Regulation (EU) (EC) 2015/1222 establishing a guideline on capacity allocation and congestion management (hereinafter referred to as “</w:t>
            </w:r>
            <w:r>
              <w:t>CACM</w:t>
            </w:r>
            <w:r w:rsidRPr="00B034C1">
              <w:t>”</w:t>
            </w:r>
            <w:proofErr w:type="gramStart"/>
            <w:r w:rsidRPr="00B034C1">
              <w:t>);</w:t>
            </w:r>
            <w:proofErr w:type="gramEnd"/>
          </w:p>
          <w:p w14:paraId="0EF76694" w14:textId="4A7B6F60" w:rsidR="005109E8" w:rsidRDefault="005109E8" w:rsidP="005109E8">
            <w:pPr>
              <w:pStyle w:val="Listeavsnitt"/>
              <w:numPr>
                <w:ilvl w:val="0"/>
                <w:numId w:val="42"/>
              </w:numPr>
              <w:rPr>
                <w:lang w:bidi="ar-QA"/>
              </w:rPr>
            </w:pPr>
            <w:r>
              <w:rPr>
                <w:lang w:bidi="ar-QA"/>
              </w:rPr>
              <w:t>“Cooperation Agreement regarding Regional Security Coordination in the Nordic region, Nordic RSC” (hereinafter referred to as “Nordic RSC Agreement”</w:t>
            </w:r>
            <w:proofErr w:type="gramStart"/>
            <w:r>
              <w:rPr>
                <w:lang w:bidi="ar-QA"/>
              </w:rPr>
              <w:t>)</w:t>
            </w:r>
            <w:r w:rsidR="00A7450A">
              <w:rPr>
                <w:lang w:bidi="ar-QA"/>
              </w:rPr>
              <w:t>;</w:t>
            </w:r>
            <w:proofErr w:type="gramEnd"/>
          </w:p>
          <w:p w14:paraId="6710EA3F" w14:textId="3B629B93" w:rsidR="005109E8" w:rsidRDefault="005109E8" w:rsidP="005109E8">
            <w:pPr>
              <w:pStyle w:val="Blocksatz"/>
              <w:numPr>
                <w:ilvl w:val="0"/>
                <w:numId w:val="42"/>
              </w:numPr>
            </w:pPr>
            <w:r>
              <w:rPr>
                <w:lang w:bidi="ar-QA"/>
              </w:rPr>
              <w:t>Multilateral Agreement on Participation in Regional Security Coordination Initiatives” (hereinafter referred to as “</w:t>
            </w:r>
            <w:r w:rsidRPr="005109E8">
              <w:rPr>
                <w:lang w:bidi="ar-QA"/>
              </w:rPr>
              <w:t>MLA</w:t>
            </w:r>
            <w:r>
              <w:rPr>
                <w:lang w:bidi="ar-QA"/>
              </w:rPr>
              <w:t>”</w:t>
            </w:r>
            <w:proofErr w:type="gramStart"/>
            <w:r>
              <w:rPr>
                <w:lang w:bidi="ar-QA"/>
              </w:rPr>
              <w:t>)</w:t>
            </w:r>
            <w:r w:rsidR="00A7450A">
              <w:rPr>
                <w:lang w:bidi="ar-QA"/>
              </w:rPr>
              <w:t>;</w:t>
            </w:r>
            <w:proofErr w:type="gramEnd"/>
          </w:p>
          <w:p w14:paraId="05C23A04" w14:textId="3EF24501" w:rsidR="00D10DE1" w:rsidRDefault="00D10DE1" w:rsidP="004B61D6">
            <w:pPr>
              <w:pStyle w:val="Blocksatz"/>
              <w:numPr>
                <w:ilvl w:val="0"/>
                <w:numId w:val="42"/>
              </w:numPr>
            </w:pPr>
            <w:r w:rsidRPr="00A12423">
              <w:t>All TSOs’ proposal for a common grid model methodology in accordance with Articles 67(1) and 70(1) of Commission Regulation (EU) 2017/1485 of 02 August 2017 establishing a guideline on electricity transmission system operation</w:t>
            </w:r>
            <w:r>
              <w:t xml:space="preserve"> (</w:t>
            </w:r>
            <w:r w:rsidR="00A7450A">
              <w:t>hereafter referred to as “</w:t>
            </w:r>
            <w:r>
              <w:t>CGMM</w:t>
            </w:r>
            <w:r w:rsidR="00943519">
              <w:t>-v3</w:t>
            </w:r>
            <w:r w:rsidR="00A7450A">
              <w:t>”</w:t>
            </w:r>
            <w:proofErr w:type="gramStart"/>
            <w:r>
              <w:t>)</w:t>
            </w:r>
            <w:r w:rsidR="00A7450A">
              <w:t>;</w:t>
            </w:r>
            <w:proofErr w:type="gramEnd"/>
          </w:p>
          <w:p w14:paraId="23A7B96F" w14:textId="240F1F88" w:rsidR="00A21778" w:rsidRDefault="001C52CE" w:rsidP="004B61D6">
            <w:pPr>
              <w:pStyle w:val="Blocksatz"/>
              <w:numPr>
                <w:ilvl w:val="0"/>
                <w:numId w:val="42"/>
              </w:numPr>
            </w:pPr>
            <w:r>
              <w:t>M</w:t>
            </w:r>
            <w:r w:rsidR="00A21778" w:rsidRPr="00A12423">
              <w:t>ethodology for coordinating operational security analysis in accordance with Article 75 of Commission Regulation (EU) 51 2017/1485 of 2 August 2017 establishing a guideline on electricity transmission system operation</w:t>
            </w:r>
            <w:r w:rsidR="00ED6750">
              <w:t xml:space="preserve"> (</w:t>
            </w:r>
            <w:r w:rsidR="00A7450A">
              <w:t>hereafter referred to as “</w:t>
            </w:r>
            <w:r w:rsidR="00ED6750">
              <w:t>CSAM</w:t>
            </w:r>
            <w:r w:rsidR="00A7450A">
              <w:t>”</w:t>
            </w:r>
            <w:proofErr w:type="gramStart"/>
            <w:r w:rsidR="00ED6750">
              <w:t>)</w:t>
            </w:r>
            <w:r w:rsidR="00A7450A">
              <w:t>;</w:t>
            </w:r>
            <w:proofErr w:type="gramEnd"/>
          </w:p>
          <w:p w14:paraId="5D3A62FC" w14:textId="6347C360" w:rsidR="00A7450A" w:rsidRDefault="00A7450A" w:rsidP="004B61D6">
            <w:pPr>
              <w:pStyle w:val="Blocksatz"/>
              <w:numPr>
                <w:ilvl w:val="0"/>
                <w:numId w:val="42"/>
              </w:numPr>
            </w:pPr>
            <w:r w:rsidRPr="00A7450A">
              <w:t xml:space="preserve">Nordic TSOs’ common methodology for regional operational security coordination </w:t>
            </w:r>
            <w:r w:rsidR="001C34AE">
              <w:t xml:space="preserve">in Nordic capacity calculation region </w:t>
            </w:r>
            <w:r w:rsidRPr="00A7450A">
              <w:t>in accordance with Article 76 and Article 77 of the “Commission Regulation (EU) 2017/1485 of 2 August 2017” establishing a guideline on electricity transmission system operation</w:t>
            </w:r>
            <w:r>
              <w:t xml:space="preserve"> (hereafter referred to as “Nordic ROSC Methodology”</w:t>
            </w:r>
            <w:proofErr w:type="gramStart"/>
            <w:r>
              <w:t>);</w:t>
            </w:r>
            <w:proofErr w:type="gramEnd"/>
          </w:p>
          <w:p w14:paraId="79BE006E" w14:textId="3F33D000" w:rsidR="00815EEA" w:rsidRDefault="001C52CE" w:rsidP="004B61D6">
            <w:pPr>
              <w:pStyle w:val="Blocksatz"/>
              <w:numPr>
                <w:ilvl w:val="0"/>
                <w:numId w:val="42"/>
              </w:numPr>
            </w:pPr>
            <w:r>
              <w:t>M</w:t>
            </w:r>
            <w:r w:rsidR="00ED6750" w:rsidRPr="006947BD">
              <w:t>ethodology for assessing the relevance of assets for outage coordination in accordance with Article 84 of Commission Regulation (EU) 2017/1485 of 2 August 2017 establishing a guideline on electricity transmission system operation</w:t>
            </w:r>
            <w:r w:rsidR="00ED6750">
              <w:t xml:space="preserve"> (</w:t>
            </w:r>
            <w:r w:rsidR="00A7450A">
              <w:t>hereafter referred to as “</w:t>
            </w:r>
            <w:r w:rsidR="00ED6750">
              <w:t>RAOCM</w:t>
            </w:r>
            <w:r w:rsidR="00A7450A">
              <w:t>”</w:t>
            </w:r>
            <w:proofErr w:type="gramStart"/>
            <w:r w:rsidR="00ED6750">
              <w:t>)</w:t>
            </w:r>
            <w:r w:rsidR="00A7450A">
              <w:t>;</w:t>
            </w:r>
            <w:proofErr w:type="gramEnd"/>
          </w:p>
          <w:p w14:paraId="048AC830" w14:textId="77777777" w:rsidR="00A7450A" w:rsidRDefault="00A7450A" w:rsidP="00A7450A">
            <w:pPr>
              <w:pStyle w:val="Blocksatz"/>
              <w:numPr>
                <w:ilvl w:val="0"/>
                <w:numId w:val="42"/>
              </w:numPr>
            </w:pPr>
            <w:r>
              <w:t xml:space="preserve">Nordic </w:t>
            </w:r>
            <w:r w:rsidRPr="004B61D6">
              <w:t xml:space="preserve">Operational Procedure </w:t>
            </w:r>
            <w:r>
              <w:t>for</w:t>
            </w:r>
            <w:r w:rsidRPr="004B61D6">
              <w:t xml:space="preserve"> Outage Planning Coordination</w:t>
            </w:r>
            <w:r>
              <w:t xml:space="preserve"> (Appendix to this Annex</w:t>
            </w:r>
            <w:proofErr w:type="gramStart"/>
            <w:r>
              <w:t>);</w:t>
            </w:r>
            <w:proofErr w:type="gramEnd"/>
            <w:r w:rsidRPr="004B61D6">
              <w:t xml:space="preserve"> </w:t>
            </w:r>
          </w:p>
          <w:p w14:paraId="4B3BC699" w14:textId="531F16B6" w:rsidR="00A7450A" w:rsidRPr="00EB5463" w:rsidRDefault="00A7450A" w:rsidP="00A7450A">
            <w:pPr>
              <w:pStyle w:val="Blocksatz"/>
              <w:numPr>
                <w:ilvl w:val="0"/>
                <w:numId w:val="42"/>
              </w:numPr>
            </w:pPr>
            <w:r>
              <w:t>Nordic Operational Procedure for Adequacy Assessment (Appendix to this Annex)</w:t>
            </w:r>
            <w:r w:rsidR="001C34AE">
              <w:t>.</w:t>
            </w:r>
          </w:p>
        </w:tc>
        <w:tc>
          <w:tcPr>
            <w:tcW w:w="1701" w:type="dxa"/>
            <w:tcBorders>
              <w:left w:val="single" w:sz="4" w:space="0" w:color="auto"/>
            </w:tcBorders>
          </w:tcPr>
          <w:p w14:paraId="40EF219D" w14:textId="77777777" w:rsidR="00A56E9D" w:rsidRDefault="00A56E9D" w:rsidP="00D766B6">
            <w:pPr>
              <w:pStyle w:val="Blocksatz"/>
              <w:jc w:val="left"/>
            </w:pPr>
          </w:p>
          <w:p w14:paraId="30E968D1" w14:textId="77777777" w:rsidR="00ED6750" w:rsidRDefault="00ED6750" w:rsidP="00D766B6">
            <w:pPr>
              <w:pStyle w:val="Blocksatz"/>
              <w:jc w:val="left"/>
            </w:pPr>
          </w:p>
          <w:p w14:paraId="0566D92B" w14:textId="77777777" w:rsidR="00ED6750" w:rsidRDefault="00ED6750" w:rsidP="00D766B6">
            <w:pPr>
              <w:pStyle w:val="Blocksatz"/>
              <w:jc w:val="left"/>
            </w:pPr>
          </w:p>
          <w:p w14:paraId="55A605C9" w14:textId="5A4EFB07" w:rsidR="00ED6750" w:rsidRPr="00BC1676" w:rsidRDefault="00B034C1" w:rsidP="00D766B6">
            <w:pPr>
              <w:pStyle w:val="Blocksatz"/>
              <w:jc w:val="left"/>
              <w:rPr>
                <w:lang w:val="de-DE"/>
              </w:rPr>
            </w:pPr>
            <w:r w:rsidRPr="00BC1676">
              <w:rPr>
                <w:lang w:val="de-DE"/>
              </w:rPr>
              <w:t>SOGL</w:t>
            </w:r>
          </w:p>
          <w:p w14:paraId="5D38CE94" w14:textId="77777777" w:rsidR="00ED6750" w:rsidRPr="00BC1676" w:rsidRDefault="00ED6750" w:rsidP="00D766B6">
            <w:pPr>
              <w:pStyle w:val="Blocksatz"/>
              <w:jc w:val="left"/>
              <w:rPr>
                <w:lang w:val="de-DE"/>
              </w:rPr>
            </w:pPr>
          </w:p>
          <w:p w14:paraId="6759E672" w14:textId="77777777" w:rsidR="00ED6750" w:rsidRPr="00BC1676" w:rsidRDefault="00ED6750" w:rsidP="00D766B6">
            <w:pPr>
              <w:pStyle w:val="Blocksatz"/>
              <w:jc w:val="left"/>
              <w:rPr>
                <w:lang w:val="de-DE"/>
              </w:rPr>
            </w:pPr>
          </w:p>
          <w:p w14:paraId="7EEA85B7" w14:textId="70F8F854" w:rsidR="00ED6750" w:rsidRPr="00BC1676" w:rsidRDefault="00B034C1" w:rsidP="00D766B6">
            <w:pPr>
              <w:pStyle w:val="Blocksatz"/>
              <w:jc w:val="left"/>
              <w:rPr>
                <w:lang w:val="de-DE"/>
              </w:rPr>
            </w:pPr>
            <w:r w:rsidRPr="00BC1676">
              <w:rPr>
                <w:lang w:val="de-DE"/>
              </w:rPr>
              <w:t>CACM</w:t>
            </w:r>
          </w:p>
          <w:p w14:paraId="0618C9AD" w14:textId="77777777" w:rsidR="00ED6750" w:rsidRPr="00BC1676" w:rsidRDefault="00ED6750" w:rsidP="00D766B6">
            <w:pPr>
              <w:pStyle w:val="Blocksatz"/>
              <w:jc w:val="left"/>
              <w:rPr>
                <w:lang w:val="de-DE"/>
              </w:rPr>
            </w:pPr>
          </w:p>
          <w:p w14:paraId="7FFD9FA0" w14:textId="77777777" w:rsidR="00ED6750" w:rsidRPr="00BC1676" w:rsidRDefault="00ED6750" w:rsidP="00D766B6">
            <w:pPr>
              <w:pStyle w:val="Blocksatz"/>
              <w:jc w:val="left"/>
              <w:rPr>
                <w:lang w:val="de-DE"/>
              </w:rPr>
            </w:pPr>
          </w:p>
          <w:p w14:paraId="3FE1BCA7" w14:textId="77777777" w:rsidR="00ED6750" w:rsidRPr="00BC1676" w:rsidRDefault="00ED6750" w:rsidP="00D766B6">
            <w:pPr>
              <w:pStyle w:val="Blocksatz"/>
              <w:jc w:val="left"/>
              <w:rPr>
                <w:lang w:val="de-DE"/>
              </w:rPr>
            </w:pPr>
          </w:p>
          <w:p w14:paraId="520F3280" w14:textId="77777777" w:rsidR="00ED6750" w:rsidRPr="00BC1676" w:rsidRDefault="00ED6750" w:rsidP="00D766B6">
            <w:pPr>
              <w:pStyle w:val="Blocksatz"/>
              <w:jc w:val="left"/>
              <w:rPr>
                <w:lang w:val="de-DE"/>
              </w:rPr>
            </w:pPr>
          </w:p>
          <w:p w14:paraId="31339D62" w14:textId="77777777" w:rsidR="0005568E" w:rsidRDefault="0005568E" w:rsidP="00D766B6">
            <w:pPr>
              <w:pStyle w:val="Blocksatz"/>
              <w:jc w:val="left"/>
              <w:rPr>
                <w:lang w:val="de-DE"/>
              </w:rPr>
            </w:pPr>
          </w:p>
          <w:p w14:paraId="69B8B829" w14:textId="77777777" w:rsidR="0005568E" w:rsidRDefault="0005568E" w:rsidP="00D766B6">
            <w:pPr>
              <w:pStyle w:val="Blocksatz"/>
              <w:jc w:val="left"/>
              <w:rPr>
                <w:lang w:val="de-DE"/>
              </w:rPr>
            </w:pPr>
          </w:p>
          <w:p w14:paraId="72482AF1" w14:textId="77777777" w:rsidR="0005568E" w:rsidRDefault="0005568E" w:rsidP="00D766B6">
            <w:pPr>
              <w:pStyle w:val="Blocksatz"/>
              <w:jc w:val="left"/>
              <w:rPr>
                <w:lang w:val="de-DE"/>
              </w:rPr>
            </w:pPr>
          </w:p>
          <w:p w14:paraId="78FA4A8A" w14:textId="55A45CC1" w:rsidR="00D10DE1" w:rsidRPr="00A7450A" w:rsidRDefault="00A7450A" w:rsidP="00D766B6">
            <w:pPr>
              <w:pStyle w:val="Blocksatz"/>
              <w:jc w:val="left"/>
              <w:rPr>
                <w:lang w:val="de-DE"/>
              </w:rPr>
            </w:pPr>
            <w:r w:rsidRPr="00A7450A">
              <w:rPr>
                <w:lang w:val="de-DE"/>
              </w:rPr>
              <w:t xml:space="preserve">SOGL </w:t>
            </w:r>
            <w:r w:rsidR="00D10DE1" w:rsidRPr="00A7450A">
              <w:rPr>
                <w:lang w:val="de-DE"/>
              </w:rPr>
              <w:t>67</w:t>
            </w:r>
            <w:r>
              <w:rPr>
                <w:lang w:val="de-DE"/>
              </w:rPr>
              <w:t>/</w:t>
            </w:r>
            <w:r w:rsidR="00D10DE1" w:rsidRPr="00A7450A">
              <w:rPr>
                <w:lang w:val="de-DE"/>
              </w:rPr>
              <w:t>70</w:t>
            </w:r>
          </w:p>
          <w:p w14:paraId="350A926F" w14:textId="77777777" w:rsidR="00D10DE1" w:rsidRPr="00A7450A" w:rsidRDefault="00D10DE1" w:rsidP="00D766B6">
            <w:pPr>
              <w:pStyle w:val="Blocksatz"/>
              <w:jc w:val="left"/>
              <w:rPr>
                <w:lang w:val="de-DE"/>
              </w:rPr>
            </w:pPr>
          </w:p>
          <w:p w14:paraId="71A0815D" w14:textId="77777777" w:rsidR="00D10DE1" w:rsidRPr="00A7450A" w:rsidRDefault="00D10DE1" w:rsidP="00D766B6">
            <w:pPr>
              <w:pStyle w:val="Blocksatz"/>
              <w:jc w:val="left"/>
              <w:rPr>
                <w:lang w:val="de-DE"/>
              </w:rPr>
            </w:pPr>
          </w:p>
          <w:p w14:paraId="417C8FD1" w14:textId="77777777" w:rsidR="00A7450A" w:rsidRDefault="00A7450A" w:rsidP="00D766B6">
            <w:pPr>
              <w:pStyle w:val="Blocksatz"/>
              <w:jc w:val="left"/>
              <w:rPr>
                <w:lang w:val="de-DE"/>
              </w:rPr>
            </w:pPr>
          </w:p>
          <w:p w14:paraId="358FD335" w14:textId="0E98A0BB" w:rsidR="00A7450A" w:rsidRPr="00A7450A" w:rsidRDefault="00A7450A" w:rsidP="00A7450A">
            <w:pPr>
              <w:pStyle w:val="Blocksatz"/>
              <w:jc w:val="left"/>
              <w:rPr>
                <w:lang w:val="de-DE"/>
              </w:rPr>
            </w:pPr>
            <w:r w:rsidRPr="00A7450A">
              <w:rPr>
                <w:lang w:val="de-DE"/>
              </w:rPr>
              <w:t>SOG</w:t>
            </w:r>
            <w:r>
              <w:rPr>
                <w:lang w:val="de-DE"/>
              </w:rPr>
              <w:t>L 75</w:t>
            </w:r>
          </w:p>
          <w:p w14:paraId="76C54DE9" w14:textId="3C88D77A" w:rsidR="00ED6750" w:rsidRPr="00A7450A" w:rsidRDefault="00ED6750" w:rsidP="00D766B6">
            <w:pPr>
              <w:pStyle w:val="Blocksatz"/>
              <w:jc w:val="left"/>
              <w:rPr>
                <w:lang w:val="de-DE"/>
              </w:rPr>
            </w:pPr>
          </w:p>
          <w:p w14:paraId="0A4AD8B0" w14:textId="77777777" w:rsidR="00ED6750" w:rsidRPr="00A7450A" w:rsidRDefault="00ED6750" w:rsidP="00D766B6">
            <w:pPr>
              <w:pStyle w:val="Blocksatz"/>
              <w:jc w:val="left"/>
              <w:rPr>
                <w:lang w:val="de-DE"/>
              </w:rPr>
            </w:pPr>
          </w:p>
          <w:p w14:paraId="41C9C549" w14:textId="77777777" w:rsidR="00ED6750" w:rsidRPr="00A7450A" w:rsidRDefault="00ED6750" w:rsidP="00D766B6">
            <w:pPr>
              <w:pStyle w:val="Blocksatz"/>
              <w:jc w:val="left"/>
              <w:rPr>
                <w:lang w:val="de-DE"/>
              </w:rPr>
            </w:pPr>
          </w:p>
          <w:p w14:paraId="74A25C8E" w14:textId="77777777" w:rsidR="00ED6750" w:rsidRPr="00A7450A" w:rsidRDefault="00ED6750" w:rsidP="00D766B6">
            <w:pPr>
              <w:pStyle w:val="Blocksatz"/>
              <w:jc w:val="left"/>
              <w:rPr>
                <w:lang w:val="de-DE"/>
              </w:rPr>
            </w:pPr>
          </w:p>
          <w:p w14:paraId="68BF2D63" w14:textId="1A750C59" w:rsidR="00A7450A" w:rsidRDefault="00A7450A" w:rsidP="00D766B6">
            <w:pPr>
              <w:pStyle w:val="Blocksatz"/>
              <w:jc w:val="left"/>
              <w:rPr>
                <w:lang w:val="de-DE"/>
              </w:rPr>
            </w:pPr>
            <w:r>
              <w:rPr>
                <w:lang w:val="de-DE"/>
              </w:rPr>
              <w:t>SOGL 76/77</w:t>
            </w:r>
          </w:p>
          <w:p w14:paraId="6C1FF593" w14:textId="77777777" w:rsidR="00A7450A" w:rsidRDefault="00A7450A" w:rsidP="00D766B6">
            <w:pPr>
              <w:pStyle w:val="Blocksatz"/>
              <w:jc w:val="left"/>
              <w:rPr>
                <w:lang w:val="de-DE"/>
              </w:rPr>
            </w:pPr>
          </w:p>
          <w:p w14:paraId="6CEC4D29" w14:textId="77777777" w:rsidR="00A7450A" w:rsidRDefault="00A7450A" w:rsidP="00D766B6">
            <w:pPr>
              <w:pStyle w:val="Blocksatz"/>
              <w:jc w:val="left"/>
              <w:rPr>
                <w:lang w:val="de-DE"/>
              </w:rPr>
            </w:pPr>
          </w:p>
          <w:p w14:paraId="344F2924" w14:textId="77777777" w:rsidR="00A7450A" w:rsidRDefault="00A7450A" w:rsidP="00D766B6">
            <w:pPr>
              <w:pStyle w:val="Blocksatz"/>
              <w:jc w:val="left"/>
              <w:rPr>
                <w:lang w:val="de-DE"/>
              </w:rPr>
            </w:pPr>
          </w:p>
          <w:p w14:paraId="3D8E0148" w14:textId="77777777" w:rsidR="00A7450A" w:rsidRDefault="00A7450A" w:rsidP="00D766B6">
            <w:pPr>
              <w:pStyle w:val="Blocksatz"/>
              <w:jc w:val="left"/>
              <w:rPr>
                <w:lang w:val="de-DE"/>
              </w:rPr>
            </w:pPr>
          </w:p>
          <w:p w14:paraId="13C5A807" w14:textId="5568A473" w:rsidR="00ED6750" w:rsidRPr="00A7450A" w:rsidRDefault="00ED6750" w:rsidP="00D766B6">
            <w:pPr>
              <w:pStyle w:val="Blocksatz"/>
              <w:jc w:val="left"/>
              <w:rPr>
                <w:lang w:val="de-DE"/>
              </w:rPr>
            </w:pPr>
            <w:r w:rsidRPr="00A7450A">
              <w:rPr>
                <w:lang w:val="de-DE"/>
              </w:rPr>
              <w:t>SOGL</w:t>
            </w:r>
            <w:r w:rsidR="001C52CE">
              <w:rPr>
                <w:lang w:val="de-DE"/>
              </w:rPr>
              <w:t xml:space="preserve"> 84</w:t>
            </w:r>
          </w:p>
          <w:p w14:paraId="2B5D4203" w14:textId="77777777" w:rsidR="00ED6750" w:rsidRPr="00A7450A" w:rsidRDefault="00ED6750" w:rsidP="00D766B6">
            <w:pPr>
              <w:pStyle w:val="Blocksatz"/>
              <w:jc w:val="left"/>
              <w:rPr>
                <w:lang w:val="de-DE"/>
              </w:rPr>
            </w:pPr>
          </w:p>
          <w:p w14:paraId="4F3EBB6A" w14:textId="77777777" w:rsidR="00ED6750" w:rsidRPr="00A7450A" w:rsidRDefault="00ED6750" w:rsidP="00D766B6">
            <w:pPr>
              <w:pStyle w:val="Blocksatz"/>
              <w:jc w:val="left"/>
              <w:rPr>
                <w:lang w:val="de-DE"/>
              </w:rPr>
            </w:pPr>
          </w:p>
        </w:tc>
      </w:tr>
    </w:tbl>
    <w:p w14:paraId="4201D01E" w14:textId="7A01A28B" w:rsidR="00005969" w:rsidRDefault="00005969" w:rsidP="00005969">
      <w:pPr>
        <w:pStyle w:val="Overskrift2"/>
      </w:pPr>
      <w:bookmarkStart w:id="5" w:name="_Toc87439990"/>
      <w:r>
        <w:t>Background</w:t>
      </w:r>
      <w:bookmarkEnd w:id="5"/>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005969" w14:paraId="5AEB22F2" w14:textId="77777777" w:rsidTr="00005969">
        <w:trPr>
          <w:trHeight w:val="893"/>
        </w:trPr>
        <w:tc>
          <w:tcPr>
            <w:tcW w:w="7370" w:type="dxa"/>
            <w:tcBorders>
              <w:right w:val="single" w:sz="4" w:space="0" w:color="auto"/>
            </w:tcBorders>
          </w:tcPr>
          <w:p w14:paraId="317AF3E7" w14:textId="69782F7E" w:rsidR="00005969" w:rsidRDefault="00005969" w:rsidP="00005969">
            <w:pPr>
              <w:pStyle w:val="Blocksatz"/>
            </w:pPr>
            <w:r w:rsidRPr="003E279C">
              <w:t xml:space="preserve">The </w:t>
            </w:r>
            <w:r>
              <w:t>main</w:t>
            </w:r>
            <w:r w:rsidRPr="003E279C">
              <w:t xml:space="preserve"> principles of </w:t>
            </w:r>
            <w:r>
              <w:t>SOGL</w:t>
            </w:r>
            <w:r w:rsidRPr="003E279C">
              <w:t>, Part III Operational Planning (hereinafter referred to as “</w:t>
            </w:r>
            <w:r w:rsidRPr="00D76FCB">
              <w:t>OP</w:t>
            </w:r>
            <w:r w:rsidRPr="003E279C">
              <w:t xml:space="preserve">”) are to </w:t>
            </w:r>
            <w:r>
              <w:t xml:space="preserve">define data requirements for operational security analysis and to </w:t>
            </w:r>
            <w:r w:rsidRPr="003E279C">
              <w:t>determine common system operation principles</w:t>
            </w:r>
            <w:r>
              <w:t xml:space="preserve"> for operational planning data, regional operational security coordination, regional outage </w:t>
            </w:r>
            <w:r>
              <w:lastRenderedPageBreak/>
              <w:t xml:space="preserve">planning coordination and regional adequacy assessment </w:t>
            </w:r>
            <w:proofErr w:type="gramStart"/>
            <w:r>
              <w:t>in order</w:t>
            </w:r>
            <w:r w:rsidRPr="003E279C">
              <w:t xml:space="preserve"> to</w:t>
            </w:r>
            <w:proofErr w:type="gramEnd"/>
            <w:r w:rsidRPr="003E279C">
              <w:t xml:space="preserve"> ensure </w:t>
            </w:r>
            <w:r>
              <w:t xml:space="preserve">security of supply at all times. </w:t>
            </w:r>
            <w:r w:rsidRPr="003E279C">
              <w:t xml:space="preserve">These principles are essential for the </w:t>
            </w:r>
            <w:r>
              <w:t xml:space="preserve">Nordic </w:t>
            </w:r>
            <w:r w:rsidRPr="003E279C">
              <w:t xml:space="preserve">TSOs to manage their responsibilities for preparing a secure operation of the interconnected transmission systems with a high level of coordination, reliability, </w:t>
            </w:r>
            <w:proofErr w:type="gramStart"/>
            <w:r w:rsidRPr="003E279C">
              <w:t>quality</w:t>
            </w:r>
            <w:proofErr w:type="gramEnd"/>
            <w:r w:rsidRPr="003E279C">
              <w:t xml:space="preserve"> and stability.</w:t>
            </w:r>
          </w:p>
          <w:p w14:paraId="54EBA2CF" w14:textId="77777777" w:rsidR="00005969" w:rsidRDefault="00005969" w:rsidP="00005969">
            <w:pPr>
              <w:pStyle w:val="Blocksatz"/>
            </w:pPr>
          </w:p>
          <w:p w14:paraId="6ED1BA62" w14:textId="77777777" w:rsidR="00005969" w:rsidRPr="00EB5463" w:rsidRDefault="00005969" w:rsidP="00005969">
            <w:pPr>
              <w:pStyle w:val="Blocksatz"/>
            </w:pPr>
            <w:r>
              <w:t xml:space="preserve">In this Annex the Nordic TSOs agree upon the main principles and requirements </w:t>
            </w:r>
            <w:r w:rsidRPr="003E279C">
              <w:t xml:space="preserve">for ensuring a coordinated preparation of </w:t>
            </w:r>
            <w:r>
              <w:t>system</w:t>
            </w:r>
            <w:r w:rsidRPr="003E279C">
              <w:t xml:space="preserve"> operation of </w:t>
            </w:r>
            <w:r>
              <w:t xml:space="preserve">the Nordic TSO’s </w:t>
            </w:r>
            <w:r w:rsidRPr="003E279C">
              <w:t>transmission systems.</w:t>
            </w:r>
            <w:r>
              <w:t xml:space="preserve"> </w:t>
            </w:r>
          </w:p>
        </w:tc>
        <w:tc>
          <w:tcPr>
            <w:tcW w:w="1701" w:type="dxa"/>
            <w:tcBorders>
              <w:left w:val="single" w:sz="4" w:space="0" w:color="auto"/>
            </w:tcBorders>
          </w:tcPr>
          <w:p w14:paraId="5AD28FFF" w14:textId="77777777" w:rsidR="00005969" w:rsidRDefault="00005969" w:rsidP="00005969">
            <w:pPr>
              <w:pStyle w:val="Blocksatz"/>
              <w:jc w:val="left"/>
            </w:pPr>
          </w:p>
        </w:tc>
      </w:tr>
    </w:tbl>
    <w:p w14:paraId="31ED2BC1" w14:textId="7889B9A0" w:rsidR="00005969" w:rsidRDefault="00005969" w:rsidP="00005969">
      <w:pPr>
        <w:pStyle w:val="Overskrift2"/>
      </w:pPr>
      <w:bookmarkStart w:id="6" w:name="_Toc87439991"/>
      <w:r>
        <w:t>This Annex</w:t>
      </w:r>
      <w:bookmarkEnd w:id="6"/>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005969" w14:paraId="38E7BA3B" w14:textId="77777777" w:rsidTr="00005969">
        <w:trPr>
          <w:trHeight w:val="893"/>
        </w:trPr>
        <w:tc>
          <w:tcPr>
            <w:tcW w:w="7370" w:type="dxa"/>
            <w:tcBorders>
              <w:right w:val="single" w:sz="4" w:space="0" w:color="auto"/>
            </w:tcBorders>
          </w:tcPr>
          <w:p w14:paraId="22373699" w14:textId="3E28EA8D" w:rsidR="00005969" w:rsidRDefault="00005969" w:rsidP="00005969">
            <w:pPr>
              <w:pStyle w:val="Blocksatz"/>
            </w:pPr>
            <w:r>
              <w:t xml:space="preserve">In this Annex the Nordic TSOs agree upon the main principles and requirements on OP for ensuring system security and to contribute to non-discrimination, effective </w:t>
            </w:r>
            <w:proofErr w:type="gramStart"/>
            <w:r>
              <w:t>competition</w:t>
            </w:r>
            <w:proofErr w:type="gramEnd"/>
            <w:r>
              <w:t xml:space="preserve"> and the efficient functioning of the internal electricity market.</w:t>
            </w:r>
          </w:p>
          <w:p w14:paraId="521FC327" w14:textId="77777777" w:rsidR="00005969" w:rsidRDefault="00005969" w:rsidP="00005969">
            <w:pPr>
              <w:pStyle w:val="Blocksatz"/>
            </w:pPr>
          </w:p>
          <w:p w14:paraId="3B3640A2" w14:textId="278E7DB2" w:rsidR="00005969" w:rsidRDefault="00005969" w:rsidP="00005969">
            <w:pPr>
              <w:pStyle w:val="Blocksatz"/>
            </w:pPr>
            <w:r>
              <w:t>This Annex shall be considered in addition to the principles, requirements and conditions included in the SOGL.</w:t>
            </w:r>
          </w:p>
          <w:p w14:paraId="2078D6EE" w14:textId="77777777" w:rsidR="00005969" w:rsidRDefault="00005969" w:rsidP="00005969">
            <w:pPr>
              <w:pStyle w:val="Blocksatz"/>
            </w:pPr>
          </w:p>
          <w:p w14:paraId="0F20F2E7" w14:textId="278B933B" w:rsidR="0005568E" w:rsidRDefault="00005969" w:rsidP="00005969">
            <w:pPr>
              <w:pStyle w:val="Blocksatz"/>
            </w:pPr>
            <w:r>
              <w:t>The Annex is also in addition to the methodologies that have been approved by the NRAs in accordance with article</w:t>
            </w:r>
            <w:r w:rsidR="00C742B7">
              <w:t>s 6(2) and</w:t>
            </w:r>
            <w:r>
              <w:t xml:space="preserve"> 6(3) of the SOGL. This Annex includes references to these methodologies. Where NRAs approved an implementation date in future, this Annex describes the existing situation.</w:t>
            </w:r>
          </w:p>
          <w:p w14:paraId="45A0636B" w14:textId="77777777" w:rsidR="0005568E" w:rsidRDefault="0005568E" w:rsidP="00005969">
            <w:pPr>
              <w:pStyle w:val="Blocksatz"/>
            </w:pPr>
          </w:p>
          <w:p w14:paraId="4EAC456D" w14:textId="68EABDFE" w:rsidR="00447DD1" w:rsidRPr="00EB5463" w:rsidRDefault="00447DD1" w:rsidP="00005969">
            <w:pPr>
              <w:pStyle w:val="Blocksatz"/>
            </w:pPr>
            <w:r w:rsidRPr="00447DD1">
              <w:t xml:space="preserve">The </w:t>
            </w:r>
            <w:r w:rsidR="00B034C1">
              <w:t xml:space="preserve">Nordic </w:t>
            </w:r>
            <w:r w:rsidRPr="00447DD1">
              <w:t xml:space="preserve">TSOs anticipate regular updates </w:t>
            </w:r>
            <w:proofErr w:type="gramStart"/>
            <w:r w:rsidRPr="00447DD1">
              <w:t>in order to</w:t>
            </w:r>
            <w:proofErr w:type="gramEnd"/>
            <w:r w:rsidRPr="00447DD1">
              <w:t xml:space="preserve"> keep the agreements</w:t>
            </w:r>
            <w:r w:rsidR="0005568E">
              <w:t xml:space="preserve"> and methodologies</w:t>
            </w:r>
            <w:r w:rsidRPr="00447DD1">
              <w:t xml:space="preserve"> in this Annex </w:t>
            </w:r>
            <w:r w:rsidR="00192776" w:rsidRPr="00447DD1">
              <w:t>up to date</w:t>
            </w:r>
            <w:r w:rsidRPr="00447DD1">
              <w:t xml:space="preserve">. Consequently, this Annex includes mainly the agreements between the </w:t>
            </w:r>
            <w:r w:rsidR="00B034C1">
              <w:t xml:space="preserve">Nordic </w:t>
            </w:r>
            <w:r w:rsidRPr="00447DD1">
              <w:t xml:space="preserve">TSOs related to the existing situation. Changes shall be first approved by all </w:t>
            </w:r>
            <w:r w:rsidR="00B034C1">
              <w:t xml:space="preserve">Nordic </w:t>
            </w:r>
            <w:r w:rsidRPr="00447DD1">
              <w:t>TSOs, before the change will be implemented in the SOA at the latest when the change enters into force. The SOA maintenance group will follow the change agreed.</w:t>
            </w:r>
          </w:p>
        </w:tc>
        <w:tc>
          <w:tcPr>
            <w:tcW w:w="1701" w:type="dxa"/>
            <w:tcBorders>
              <w:left w:val="single" w:sz="4" w:space="0" w:color="auto"/>
            </w:tcBorders>
          </w:tcPr>
          <w:p w14:paraId="4BEE3565" w14:textId="77777777" w:rsidR="00005969" w:rsidRDefault="00005969" w:rsidP="00005969">
            <w:pPr>
              <w:pStyle w:val="Blocksatz"/>
              <w:jc w:val="left"/>
            </w:pPr>
            <w:r>
              <w:t>SOGL, whereas (13)</w:t>
            </w:r>
          </w:p>
          <w:p w14:paraId="71054C9D" w14:textId="77777777" w:rsidR="00447DD1" w:rsidRDefault="00447DD1" w:rsidP="00005969">
            <w:pPr>
              <w:pStyle w:val="Blocksatz"/>
              <w:jc w:val="left"/>
            </w:pPr>
          </w:p>
          <w:p w14:paraId="3B034B6E" w14:textId="77777777" w:rsidR="00447DD1" w:rsidRDefault="00447DD1" w:rsidP="00005969">
            <w:pPr>
              <w:pStyle w:val="Blocksatz"/>
              <w:jc w:val="left"/>
            </w:pPr>
          </w:p>
          <w:p w14:paraId="05A8EDB4" w14:textId="77777777" w:rsidR="00447DD1" w:rsidRDefault="00447DD1" w:rsidP="00005969">
            <w:pPr>
              <w:pStyle w:val="Blocksatz"/>
              <w:jc w:val="left"/>
            </w:pPr>
          </w:p>
          <w:p w14:paraId="1CE0E77C" w14:textId="77777777" w:rsidR="00447DD1" w:rsidRDefault="00447DD1" w:rsidP="00005969">
            <w:pPr>
              <w:pStyle w:val="Blocksatz"/>
              <w:jc w:val="left"/>
            </w:pPr>
            <w:r>
              <w:t>SOGL, part III</w:t>
            </w:r>
          </w:p>
          <w:p w14:paraId="2BD55BC4" w14:textId="77777777" w:rsidR="00447DD1" w:rsidRDefault="00447DD1" w:rsidP="00005969">
            <w:pPr>
              <w:pStyle w:val="Blocksatz"/>
              <w:jc w:val="left"/>
            </w:pPr>
          </w:p>
          <w:p w14:paraId="0E02488A" w14:textId="77777777" w:rsidR="00447DD1" w:rsidRDefault="00447DD1" w:rsidP="00005969">
            <w:pPr>
              <w:pStyle w:val="Blocksatz"/>
              <w:jc w:val="left"/>
            </w:pPr>
          </w:p>
          <w:p w14:paraId="11C14061" w14:textId="77777777" w:rsidR="00F36EB3" w:rsidRDefault="00447DD1" w:rsidP="00005969">
            <w:pPr>
              <w:pStyle w:val="Blocksatz"/>
              <w:jc w:val="left"/>
            </w:pPr>
            <w:r>
              <w:t xml:space="preserve">SOGL </w:t>
            </w:r>
            <w:r w:rsidR="00F36EB3">
              <w:t>6(2)</w:t>
            </w:r>
          </w:p>
          <w:p w14:paraId="41F04083" w14:textId="0061ACEA" w:rsidR="00447DD1" w:rsidRDefault="00F36EB3" w:rsidP="00005969">
            <w:pPr>
              <w:pStyle w:val="Blocksatz"/>
              <w:jc w:val="left"/>
            </w:pPr>
            <w:r>
              <w:t xml:space="preserve">SOGL </w:t>
            </w:r>
            <w:r w:rsidR="00447DD1">
              <w:t>6(3)</w:t>
            </w:r>
          </w:p>
        </w:tc>
      </w:tr>
    </w:tbl>
    <w:p w14:paraId="01706F1E" w14:textId="6050EFC4" w:rsidR="00B034C1" w:rsidRDefault="00B034C1" w:rsidP="00B034C1">
      <w:pPr>
        <w:pStyle w:val="Overskrift2"/>
      </w:pPr>
      <w:bookmarkStart w:id="7" w:name="_Toc87439992"/>
      <w:r>
        <w:t>Geographic area</w:t>
      </w:r>
      <w:bookmarkEnd w:id="7"/>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B034C1" w14:paraId="7D39193A" w14:textId="77777777" w:rsidTr="00116AC4">
        <w:trPr>
          <w:trHeight w:val="893"/>
        </w:trPr>
        <w:tc>
          <w:tcPr>
            <w:tcW w:w="7370" w:type="dxa"/>
            <w:tcBorders>
              <w:right w:val="single" w:sz="4" w:space="0" w:color="auto"/>
            </w:tcBorders>
          </w:tcPr>
          <w:p w14:paraId="50D9F5A6" w14:textId="5D353384" w:rsidR="00B034C1" w:rsidRPr="00EB5463" w:rsidRDefault="00B034C1" w:rsidP="00116AC4">
            <w:pPr>
              <w:pStyle w:val="Blocksatz"/>
            </w:pPr>
            <w:r w:rsidRPr="00B034C1">
              <w:t xml:space="preserve">The geographical area to which </w:t>
            </w:r>
            <w:r w:rsidR="001C34AE">
              <w:t>this Annex</w:t>
            </w:r>
            <w:r w:rsidRPr="00B034C1">
              <w:t xml:space="preserve"> applies is the Nordic</w:t>
            </w:r>
            <w:r>
              <w:t xml:space="preserve"> Capacity Calculation Region (hereafter referred to as “Nordic CCR”)</w:t>
            </w:r>
            <w:r w:rsidRPr="00B034C1">
              <w:t>.</w:t>
            </w:r>
          </w:p>
        </w:tc>
        <w:tc>
          <w:tcPr>
            <w:tcW w:w="1701" w:type="dxa"/>
            <w:tcBorders>
              <w:left w:val="single" w:sz="4" w:space="0" w:color="auto"/>
            </w:tcBorders>
          </w:tcPr>
          <w:p w14:paraId="4F61FD23" w14:textId="28CD3CE2" w:rsidR="00B034C1" w:rsidRDefault="00B034C1" w:rsidP="00116AC4">
            <w:pPr>
              <w:pStyle w:val="Blocksatz"/>
              <w:jc w:val="left"/>
            </w:pPr>
          </w:p>
        </w:tc>
      </w:tr>
    </w:tbl>
    <w:p w14:paraId="4CE985D9" w14:textId="3E97629A" w:rsidR="00B034C1" w:rsidRDefault="00B034C1" w:rsidP="00B034C1">
      <w:pPr>
        <w:pStyle w:val="Overskrift2"/>
      </w:pPr>
      <w:bookmarkStart w:id="8" w:name="_Toc87439993"/>
      <w:r>
        <w:t>Structure of this Annex</w:t>
      </w:r>
      <w:bookmarkEnd w:id="8"/>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B034C1" w14:paraId="01514F6F" w14:textId="77777777" w:rsidTr="00116AC4">
        <w:trPr>
          <w:trHeight w:val="893"/>
        </w:trPr>
        <w:tc>
          <w:tcPr>
            <w:tcW w:w="7370" w:type="dxa"/>
            <w:tcBorders>
              <w:right w:val="single" w:sz="4" w:space="0" w:color="auto"/>
            </w:tcBorders>
          </w:tcPr>
          <w:p w14:paraId="725396C8" w14:textId="5CDBB275" w:rsidR="00B034C1" w:rsidRDefault="00B034C1" w:rsidP="00B034C1">
            <w:pPr>
              <w:pStyle w:val="Blocksatz"/>
              <w:rPr>
                <w:lang w:bidi="ar-QA"/>
              </w:rPr>
            </w:pPr>
            <w:r>
              <w:rPr>
                <w:lang w:bidi="ar-QA"/>
              </w:rPr>
              <w:t xml:space="preserve">This </w:t>
            </w:r>
            <w:r w:rsidRPr="00B14B72">
              <w:rPr>
                <w:lang w:bidi="ar-QA"/>
              </w:rPr>
              <w:t>Annex</w:t>
            </w:r>
            <w:r>
              <w:rPr>
                <w:lang w:bidi="ar-QA"/>
              </w:rPr>
              <w:t xml:space="preserve"> has the following structure:</w:t>
            </w:r>
          </w:p>
          <w:p w14:paraId="0BCC67E0" w14:textId="77777777" w:rsidR="00B034C1" w:rsidRDefault="00B034C1" w:rsidP="00B034C1">
            <w:pPr>
              <w:pStyle w:val="Listeavsnitt"/>
              <w:numPr>
                <w:ilvl w:val="0"/>
                <w:numId w:val="38"/>
              </w:numPr>
              <w:rPr>
                <w:lang w:bidi="ar-QA"/>
              </w:rPr>
            </w:pPr>
            <w:r>
              <w:rPr>
                <w:lang w:bidi="ar-QA"/>
              </w:rPr>
              <w:t>Chapter 2: Operational Planning Data</w:t>
            </w:r>
          </w:p>
          <w:p w14:paraId="3BB9C189" w14:textId="6F72AAE5" w:rsidR="00B034C1" w:rsidRPr="006C322B" w:rsidRDefault="00B034C1" w:rsidP="00B034C1">
            <w:pPr>
              <w:pStyle w:val="Listeavsnitt"/>
              <w:numPr>
                <w:ilvl w:val="0"/>
                <w:numId w:val="38"/>
              </w:numPr>
              <w:rPr>
                <w:lang w:bidi="ar-QA"/>
              </w:rPr>
            </w:pPr>
            <w:r>
              <w:rPr>
                <w:lang w:bidi="ar-QA"/>
              </w:rPr>
              <w:t xml:space="preserve">Chapter </w:t>
            </w:r>
            <w:r>
              <w:rPr>
                <w:lang w:bidi="ar-QA"/>
              </w:rPr>
              <w:fldChar w:fldCharType="begin"/>
            </w:r>
            <w:r>
              <w:rPr>
                <w:lang w:bidi="ar-QA"/>
              </w:rPr>
              <w:instrText xml:space="preserve"> REF _Ref164526 \r \h </w:instrText>
            </w:r>
            <w:r>
              <w:rPr>
                <w:lang w:bidi="ar-QA"/>
              </w:rPr>
            </w:r>
            <w:r>
              <w:rPr>
                <w:lang w:bidi="ar-QA"/>
              </w:rPr>
              <w:fldChar w:fldCharType="separate"/>
            </w:r>
            <w:r w:rsidR="00A21CB6">
              <w:rPr>
                <w:lang w:bidi="ar-QA"/>
              </w:rPr>
              <w:t>3</w:t>
            </w:r>
            <w:r>
              <w:rPr>
                <w:lang w:bidi="ar-QA"/>
              </w:rPr>
              <w:fldChar w:fldCharType="end"/>
            </w:r>
            <w:r>
              <w:rPr>
                <w:lang w:bidi="ar-QA"/>
              </w:rPr>
              <w:t>: Coordinated Operational S</w:t>
            </w:r>
            <w:r w:rsidRPr="006C322B">
              <w:rPr>
                <w:lang w:bidi="ar-QA"/>
              </w:rPr>
              <w:t xml:space="preserve">ecurity </w:t>
            </w:r>
            <w:r>
              <w:rPr>
                <w:lang w:bidi="ar-QA"/>
              </w:rPr>
              <w:t>A</w:t>
            </w:r>
            <w:r w:rsidRPr="006C322B">
              <w:rPr>
                <w:lang w:bidi="ar-QA"/>
              </w:rPr>
              <w:t>nalysis</w:t>
            </w:r>
          </w:p>
          <w:p w14:paraId="60427158" w14:textId="7B77EDED" w:rsidR="00B034C1" w:rsidRPr="006C322B" w:rsidRDefault="00B034C1" w:rsidP="00B034C1">
            <w:pPr>
              <w:pStyle w:val="Listeavsnitt"/>
              <w:numPr>
                <w:ilvl w:val="0"/>
                <w:numId w:val="38"/>
              </w:numPr>
              <w:rPr>
                <w:lang w:bidi="ar-QA"/>
              </w:rPr>
            </w:pPr>
            <w:r>
              <w:rPr>
                <w:lang w:bidi="ar-QA"/>
              </w:rPr>
              <w:t xml:space="preserve">Chapter </w:t>
            </w:r>
            <w:r>
              <w:rPr>
                <w:lang w:bidi="ar-QA"/>
              </w:rPr>
              <w:fldChar w:fldCharType="begin"/>
            </w:r>
            <w:r>
              <w:rPr>
                <w:lang w:bidi="ar-QA"/>
              </w:rPr>
              <w:instrText xml:space="preserve"> REF _Ref164598 \r \h </w:instrText>
            </w:r>
            <w:r>
              <w:rPr>
                <w:lang w:bidi="ar-QA"/>
              </w:rPr>
            </w:r>
            <w:r>
              <w:rPr>
                <w:lang w:bidi="ar-QA"/>
              </w:rPr>
              <w:fldChar w:fldCharType="separate"/>
            </w:r>
            <w:r w:rsidR="00A21CB6">
              <w:rPr>
                <w:lang w:bidi="ar-QA"/>
              </w:rPr>
              <w:t>4</w:t>
            </w:r>
            <w:r>
              <w:rPr>
                <w:lang w:bidi="ar-QA"/>
              </w:rPr>
              <w:fldChar w:fldCharType="end"/>
            </w:r>
            <w:r>
              <w:rPr>
                <w:lang w:bidi="ar-QA"/>
              </w:rPr>
              <w:t>: O</w:t>
            </w:r>
            <w:r w:rsidRPr="006C322B">
              <w:rPr>
                <w:lang w:bidi="ar-QA"/>
              </w:rPr>
              <w:t xml:space="preserve">utage </w:t>
            </w:r>
            <w:r>
              <w:rPr>
                <w:lang w:bidi="ar-QA"/>
              </w:rPr>
              <w:t>Planning C</w:t>
            </w:r>
            <w:r w:rsidRPr="006C322B">
              <w:rPr>
                <w:lang w:bidi="ar-QA"/>
              </w:rPr>
              <w:t>oordination</w:t>
            </w:r>
          </w:p>
          <w:p w14:paraId="70032F3B" w14:textId="7D640570" w:rsidR="00B034C1" w:rsidRDefault="00B034C1" w:rsidP="00B034C1">
            <w:pPr>
              <w:pStyle w:val="Listeavsnitt"/>
              <w:numPr>
                <w:ilvl w:val="0"/>
                <w:numId w:val="38"/>
              </w:numPr>
              <w:rPr>
                <w:lang w:bidi="ar-QA"/>
              </w:rPr>
            </w:pPr>
            <w:r>
              <w:rPr>
                <w:lang w:bidi="ar-QA"/>
              </w:rPr>
              <w:t xml:space="preserve">Chapter </w:t>
            </w:r>
            <w:r>
              <w:rPr>
                <w:lang w:bidi="ar-QA"/>
              </w:rPr>
              <w:fldChar w:fldCharType="begin"/>
            </w:r>
            <w:r>
              <w:rPr>
                <w:lang w:bidi="ar-QA"/>
              </w:rPr>
              <w:instrText xml:space="preserve"> REF _Ref183281 \r \h </w:instrText>
            </w:r>
            <w:r>
              <w:rPr>
                <w:lang w:bidi="ar-QA"/>
              </w:rPr>
            </w:r>
            <w:r>
              <w:rPr>
                <w:lang w:bidi="ar-QA"/>
              </w:rPr>
              <w:fldChar w:fldCharType="separate"/>
            </w:r>
            <w:r w:rsidR="00A21CB6">
              <w:rPr>
                <w:lang w:bidi="ar-QA"/>
              </w:rPr>
              <w:t>5</w:t>
            </w:r>
            <w:r>
              <w:rPr>
                <w:lang w:bidi="ar-QA"/>
              </w:rPr>
              <w:fldChar w:fldCharType="end"/>
            </w:r>
            <w:r>
              <w:rPr>
                <w:lang w:bidi="ar-QA"/>
              </w:rPr>
              <w:t>: Adequacy Assessment</w:t>
            </w:r>
          </w:p>
          <w:p w14:paraId="1F055AA6" w14:textId="36B5A1EC" w:rsidR="00B034C1" w:rsidRPr="00EB5463" w:rsidRDefault="00B034C1" w:rsidP="0005568E">
            <w:pPr>
              <w:pStyle w:val="Listeavsnitt"/>
              <w:numPr>
                <w:ilvl w:val="0"/>
                <w:numId w:val="38"/>
              </w:numPr>
            </w:pPr>
            <w:r>
              <w:rPr>
                <w:lang w:bidi="ar-QA"/>
              </w:rPr>
              <w:t>Chapter 6: Ancillary Services for Reactive Power</w:t>
            </w:r>
          </w:p>
        </w:tc>
        <w:tc>
          <w:tcPr>
            <w:tcW w:w="1701" w:type="dxa"/>
            <w:tcBorders>
              <w:left w:val="single" w:sz="4" w:space="0" w:color="auto"/>
            </w:tcBorders>
          </w:tcPr>
          <w:p w14:paraId="2B734CAD" w14:textId="77777777" w:rsidR="00B034C1" w:rsidRDefault="00B034C1" w:rsidP="00116AC4">
            <w:pPr>
              <w:pStyle w:val="Blocksatz"/>
              <w:jc w:val="left"/>
            </w:pPr>
          </w:p>
        </w:tc>
      </w:tr>
    </w:tbl>
    <w:p w14:paraId="5876884F" w14:textId="77777777" w:rsidR="0005568E" w:rsidRDefault="0005568E" w:rsidP="0005568E">
      <w:pPr>
        <w:pStyle w:val="Overskrift2"/>
      </w:pPr>
      <w:bookmarkStart w:id="9" w:name="_Toc87439994"/>
      <w:r>
        <w:lastRenderedPageBreak/>
        <w:t>Definitions</w:t>
      </w:r>
      <w:bookmarkEnd w:id="9"/>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05568E" w14:paraId="3BC7482A" w14:textId="77777777" w:rsidTr="00116AC4">
        <w:trPr>
          <w:trHeight w:val="893"/>
        </w:trPr>
        <w:tc>
          <w:tcPr>
            <w:tcW w:w="7370" w:type="dxa"/>
            <w:tcBorders>
              <w:right w:val="single" w:sz="4" w:space="0" w:color="auto"/>
            </w:tcBorders>
          </w:tcPr>
          <w:p w14:paraId="56581AA3" w14:textId="1B009920" w:rsidR="0005568E" w:rsidRPr="00EB5463" w:rsidRDefault="0005568E" w:rsidP="00116AC4">
            <w:pPr>
              <w:pStyle w:val="Blocksatz"/>
            </w:pPr>
            <w:proofErr w:type="gramStart"/>
            <w:r w:rsidRPr="00B034C1">
              <w:t>For the purpose of</w:t>
            </w:r>
            <w:proofErr w:type="gramEnd"/>
            <w:r w:rsidRPr="00B034C1">
              <w:t xml:space="preserve"> </w:t>
            </w:r>
            <w:r>
              <w:t>this Annex</w:t>
            </w:r>
            <w:r w:rsidRPr="00B034C1">
              <w:t>, the terms used shall have the meaning of the definitions included in article 3 of SO</w:t>
            </w:r>
            <w:r>
              <w:t xml:space="preserve">GL, </w:t>
            </w:r>
            <w:r w:rsidRPr="00B034C1">
              <w:t>article 2 of CACM</w:t>
            </w:r>
            <w:r>
              <w:t xml:space="preserve">, </w:t>
            </w:r>
            <w:r w:rsidRPr="00B034C1">
              <w:t>article 2 of CSAM</w:t>
            </w:r>
            <w:r>
              <w:t xml:space="preserve">, article 2 of Nordic ROSC Methodology </w:t>
            </w:r>
            <w:r w:rsidRPr="00B034C1">
              <w:t>and the other items of legislation referenced therein.</w:t>
            </w:r>
          </w:p>
        </w:tc>
        <w:tc>
          <w:tcPr>
            <w:tcW w:w="1701" w:type="dxa"/>
            <w:tcBorders>
              <w:left w:val="single" w:sz="4" w:space="0" w:color="auto"/>
            </w:tcBorders>
          </w:tcPr>
          <w:p w14:paraId="0D02B430" w14:textId="77777777" w:rsidR="0005568E" w:rsidRDefault="0005568E" w:rsidP="00116AC4">
            <w:pPr>
              <w:pStyle w:val="Blocksatz"/>
              <w:jc w:val="left"/>
            </w:pPr>
          </w:p>
        </w:tc>
      </w:tr>
    </w:tbl>
    <w:p w14:paraId="624C7F92" w14:textId="7A0A097A" w:rsidR="001270FF" w:rsidRDefault="001270FF">
      <w:pPr>
        <w:rPr>
          <w:lang w:bidi="ar-QA"/>
        </w:rPr>
      </w:pPr>
    </w:p>
    <w:p w14:paraId="0E853D06" w14:textId="26CF1B02" w:rsidR="00B93465" w:rsidRDefault="006C322B" w:rsidP="00451970">
      <w:pPr>
        <w:pStyle w:val="Overskrift1"/>
      </w:pPr>
      <w:bookmarkStart w:id="10" w:name="_Ref164504"/>
      <w:r>
        <w:t xml:space="preserve">Operational </w:t>
      </w:r>
      <w:r w:rsidR="005109E8">
        <w:t>P</w:t>
      </w:r>
      <w:r>
        <w:t xml:space="preserve">lanning </w:t>
      </w:r>
      <w:r w:rsidR="005109E8">
        <w:t>D</w:t>
      </w:r>
      <w:r>
        <w:t>ata</w:t>
      </w:r>
      <w:bookmarkEnd w:id="10"/>
    </w:p>
    <w:p w14:paraId="2882C654" w14:textId="77777777" w:rsidR="000E0FCD" w:rsidRDefault="000E0FCD" w:rsidP="00451970">
      <w:pPr>
        <w:pStyle w:val="Overskrift2"/>
      </w:pPr>
      <w:bookmarkStart w:id="11" w:name="_Toc87439995"/>
      <w:r>
        <w:t>Objective</w:t>
      </w:r>
      <w:bookmarkEnd w:id="11"/>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533AFB" w14:paraId="372058F4" w14:textId="77777777" w:rsidTr="00533AFB">
        <w:tc>
          <w:tcPr>
            <w:tcW w:w="7370" w:type="dxa"/>
            <w:tcBorders>
              <w:right w:val="single" w:sz="4" w:space="0" w:color="auto"/>
            </w:tcBorders>
          </w:tcPr>
          <w:p w14:paraId="3AE1A2D1" w14:textId="0B35A51F" w:rsidR="00533AFB" w:rsidRPr="00462C20" w:rsidRDefault="00700795" w:rsidP="00307522">
            <w:pPr>
              <w:pStyle w:val="Blocksatz"/>
              <w:rPr>
                <w:color w:val="0070C0"/>
              </w:rPr>
            </w:pPr>
            <w:r>
              <w:t xml:space="preserve">Operational planning data is an important </w:t>
            </w:r>
            <w:r w:rsidR="00307522">
              <w:t xml:space="preserve">objective </w:t>
            </w:r>
            <w:r>
              <w:t xml:space="preserve">for performing the regional operational planning in Nordic </w:t>
            </w:r>
            <w:r w:rsidR="00E454E2">
              <w:t>CCR</w:t>
            </w:r>
            <w:r>
              <w:t xml:space="preserve">. </w:t>
            </w:r>
            <w:r w:rsidR="00307522">
              <w:t xml:space="preserve">The </w:t>
            </w:r>
            <w:r w:rsidR="00DC021C">
              <w:t>i</w:t>
            </w:r>
            <w:r w:rsidR="00DC021C" w:rsidRPr="00350BE8">
              <w:t>ndividual grid models (hereinafter referred to as “IGM”)</w:t>
            </w:r>
            <w:r w:rsidR="00DC021C">
              <w:t xml:space="preserve"> provided by each TSO</w:t>
            </w:r>
            <w:r w:rsidR="00DC021C" w:rsidRPr="00350BE8">
              <w:t xml:space="preserve"> </w:t>
            </w:r>
            <w:r w:rsidR="00350BE8" w:rsidRPr="00350BE8">
              <w:t xml:space="preserve">are merged to </w:t>
            </w:r>
            <w:r w:rsidR="00307522">
              <w:t xml:space="preserve">a </w:t>
            </w:r>
            <w:r w:rsidR="00350BE8" w:rsidRPr="00350BE8">
              <w:t>common grid model (hereinafter referred to as “CGM”)</w:t>
            </w:r>
            <w:r w:rsidR="00307522">
              <w:t xml:space="preserve">. </w:t>
            </w:r>
            <w:r w:rsidR="00D10DE1" w:rsidRPr="00D10DE1">
              <w:t xml:space="preserve">CGM is a network model which allow Nordic TSOs and the Nordic RSC to calculate electrical values such as voltage, active and reactive power flows </w:t>
            </w:r>
            <w:r w:rsidR="00DC021C" w:rsidRPr="00D10DE1">
              <w:t>on elements</w:t>
            </w:r>
            <w:r w:rsidR="00D10DE1" w:rsidRPr="00D10DE1">
              <w:t xml:space="preserve"> of the electrical network.</w:t>
            </w:r>
            <w:r w:rsidR="00307522">
              <w:t xml:space="preserve"> </w:t>
            </w:r>
            <w:r w:rsidR="00B3022C">
              <w:t xml:space="preserve">The CGMs for the different time frames are the </w:t>
            </w:r>
            <w:r w:rsidR="00307522">
              <w:t>basis</w:t>
            </w:r>
            <w:r w:rsidR="00B3022C">
              <w:t xml:space="preserve"> for operational processes</w:t>
            </w:r>
            <w:r w:rsidR="005237B0">
              <w:t>,</w:t>
            </w:r>
            <w:r w:rsidR="00B3022C">
              <w:t xml:space="preserve"> such as </w:t>
            </w:r>
            <w:r w:rsidR="00E454E2">
              <w:t xml:space="preserve">coordinated </w:t>
            </w:r>
            <w:r w:rsidR="00B3022C">
              <w:t xml:space="preserve">regional operational security </w:t>
            </w:r>
            <w:r w:rsidR="00E454E2">
              <w:t xml:space="preserve">assessment </w:t>
            </w:r>
            <w:r w:rsidR="00B3022C">
              <w:t>and regional outage planning coordination.</w:t>
            </w:r>
            <w:r w:rsidR="00B3022C" w:rsidRPr="003E279C" w:rsidDel="00B3022C">
              <w:t xml:space="preserve"> </w:t>
            </w:r>
          </w:p>
        </w:tc>
        <w:tc>
          <w:tcPr>
            <w:tcW w:w="1701" w:type="dxa"/>
            <w:tcBorders>
              <w:left w:val="single" w:sz="4" w:space="0" w:color="auto"/>
            </w:tcBorders>
          </w:tcPr>
          <w:p w14:paraId="7D300AEE" w14:textId="77777777" w:rsidR="00533AFB" w:rsidRDefault="00533AFB" w:rsidP="00533AFB">
            <w:pPr>
              <w:pStyle w:val="Blocksatz"/>
              <w:jc w:val="left"/>
            </w:pPr>
          </w:p>
        </w:tc>
      </w:tr>
    </w:tbl>
    <w:p w14:paraId="6F01524B" w14:textId="77777777" w:rsidR="003C09DA" w:rsidRDefault="003C09DA" w:rsidP="001A5A96">
      <w:pPr>
        <w:pStyle w:val="Overskrift2"/>
      </w:pPr>
      <w:bookmarkStart w:id="12" w:name="_Toc87439996"/>
      <w:r>
        <w:t>Roles &amp; Responsibilities</w:t>
      </w:r>
      <w:bookmarkEnd w:id="12"/>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EF71F6" w:rsidRPr="00DF2EB7" w14:paraId="2154F61D" w14:textId="77777777" w:rsidTr="0084062A">
        <w:trPr>
          <w:trHeight w:val="907"/>
        </w:trPr>
        <w:tc>
          <w:tcPr>
            <w:tcW w:w="7370" w:type="dxa"/>
            <w:tcBorders>
              <w:right w:val="single" w:sz="4" w:space="0" w:color="auto"/>
            </w:tcBorders>
          </w:tcPr>
          <w:p w14:paraId="20BEF64B" w14:textId="6645B905" w:rsidR="00EF71F6" w:rsidRPr="003E279C" w:rsidRDefault="00EF71F6" w:rsidP="00EF71F6">
            <w:pPr>
              <w:pStyle w:val="Blocksatz"/>
            </w:pPr>
            <w:r w:rsidRPr="003E279C">
              <w:t xml:space="preserve">Each TSO shall prepare individual grid models in accordance with the common grid model </w:t>
            </w:r>
            <w:r w:rsidR="00D10DE1" w:rsidRPr="003E279C">
              <w:t>methodolog</w:t>
            </w:r>
            <w:r w:rsidR="008B27F9">
              <w:t>y</w:t>
            </w:r>
            <w:r w:rsidR="00D10DE1">
              <w:t xml:space="preserve"> (CGMM</w:t>
            </w:r>
            <w:r w:rsidR="00943519">
              <w:t>-v3</w:t>
            </w:r>
            <w:r w:rsidR="00D10DE1">
              <w:t>)</w:t>
            </w:r>
            <w:r w:rsidR="00D10DE1" w:rsidRPr="003E279C">
              <w:t xml:space="preserve"> </w:t>
            </w:r>
            <w:r w:rsidRPr="003E279C">
              <w:t xml:space="preserve">referred to in Chapter </w:t>
            </w:r>
            <w:r w:rsidR="00294393">
              <w:fldChar w:fldCharType="begin"/>
            </w:r>
            <w:r w:rsidR="00294393">
              <w:instrText xml:space="preserve"> REF _Ref1566344 \r \h </w:instrText>
            </w:r>
            <w:r w:rsidR="00294393">
              <w:fldChar w:fldCharType="separate"/>
            </w:r>
            <w:r w:rsidR="00A21CB6">
              <w:t>2.3.1</w:t>
            </w:r>
            <w:r w:rsidR="00294393">
              <w:fldChar w:fldCharType="end"/>
            </w:r>
            <w:r w:rsidRPr="003E279C">
              <w:t xml:space="preserve"> </w:t>
            </w:r>
            <w:r w:rsidR="00A13987">
              <w:t xml:space="preserve">at least </w:t>
            </w:r>
            <w:r w:rsidRPr="003E279C">
              <w:t>for each of the following timeframes:</w:t>
            </w:r>
          </w:p>
          <w:p w14:paraId="58FB5637" w14:textId="77777777" w:rsidR="00EF71F6" w:rsidRPr="002A1B97" w:rsidRDefault="00EF71F6" w:rsidP="0063023B">
            <w:pPr>
              <w:pStyle w:val="Blocksatz"/>
              <w:numPr>
                <w:ilvl w:val="0"/>
                <w:numId w:val="34"/>
              </w:numPr>
            </w:pPr>
            <w:r w:rsidRPr="002A1B97">
              <w:t>year-ahead</w:t>
            </w:r>
          </w:p>
          <w:p w14:paraId="01CD4C62" w14:textId="3BF7F4E3" w:rsidR="00DF2EB7" w:rsidRPr="002A1B97" w:rsidRDefault="00DF2EB7" w:rsidP="0063023B">
            <w:pPr>
              <w:pStyle w:val="Blocksatz"/>
              <w:numPr>
                <w:ilvl w:val="0"/>
                <w:numId w:val="34"/>
              </w:numPr>
            </w:pPr>
            <w:r w:rsidRPr="002A1B97">
              <w:t>D-2</w:t>
            </w:r>
          </w:p>
          <w:p w14:paraId="3D2753F2" w14:textId="77777777" w:rsidR="00A13987" w:rsidRPr="002A1B97" w:rsidRDefault="00EF71F6" w:rsidP="0063023B">
            <w:pPr>
              <w:pStyle w:val="Blocksatz"/>
              <w:numPr>
                <w:ilvl w:val="0"/>
                <w:numId w:val="34"/>
              </w:numPr>
            </w:pPr>
            <w:r w:rsidRPr="002A1B97">
              <w:t>day-ahead</w:t>
            </w:r>
          </w:p>
          <w:p w14:paraId="28CC4E32" w14:textId="77777777" w:rsidR="00A13987" w:rsidRPr="00F31367" w:rsidRDefault="00A13987" w:rsidP="0063023B">
            <w:pPr>
              <w:pStyle w:val="Blocksatz"/>
              <w:numPr>
                <w:ilvl w:val="0"/>
                <w:numId w:val="34"/>
              </w:numPr>
            </w:pPr>
            <w:r>
              <w:t>i</w:t>
            </w:r>
            <w:r w:rsidRPr="003E279C">
              <w:t>ntraday</w:t>
            </w:r>
          </w:p>
          <w:p w14:paraId="40E0A17E" w14:textId="77777777" w:rsidR="00A13987" w:rsidRPr="00F31367" w:rsidRDefault="00A13987" w:rsidP="00A13987">
            <w:pPr>
              <w:pStyle w:val="Blocksatz"/>
            </w:pPr>
          </w:p>
          <w:p w14:paraId="04A023A3" w14:textId="75F2A49A" w:rsidR="00A13987" w:rsidRPr="00EF71F6" w:rsidRDefault="008B3700" w:rsidP="00707288">
            <w:pPr>
              <w:pStyle w:val="Blocksatz"/>
              <w:rPr>
                <w:color w:val="00B050"/>
              </w:rPr>
            </w:pPr>
            <w:r>
              <w:t>Where two or more TSOs consider it necessary,</w:t>
            </w:r>
            <w:r w:rsidDel="008B3700">
              <w:t xml:space="preserve"> </w:t>
            </w:r>
            <w:r w:rsidR="00D24582">
              <w:t>they shall define</w:t>
            </w:r>
            <w:r w:rsidR="00C5774E">
              <w:t xml:space="preserve"> the </w:t>
            </w:r>
            <w:r w:rsidR="00D24582">
              <w:t xml:space="preserve">principles for </w:t>
            </w:r>
            <w:r w:rsidR="00C5774E">
              <w:t xml:space="preserve">development of week-ahead </w:t>
            </w:r>
            <w:r w:rsidR="00707288">
              <w:t xml:space="preserve">and month-ahead </w:t>
            </w:r>
            <w:r w:rsidR="00C5774E">
              <w:t xml:space="preserve">individual grid models </w:t>
            </w:r>
            <w:r w:rsidR="00D24582">
              <w:t xml:space="preserve">for the purpose of </w:t>
            </w:r>
            <w:r w:rsidR="00A13987">
              <w:t xml:space="preserve">operational </w:t>
            </w:r>
            <w:r w:rsidR="00707288">
              <w:t xml:space="preserve">planning </w:t>
            </w:r>
            <w:r w:rsidR="00A13987">
              <w:t>processes</w:t>
            </w:r>
            <w:r w:rsidR="00D24582">
              <w:t xml:space="preserve">. </w:t>
            </w:r>
            <w:r w:rsidR="00D96C9F">
              <w:t>Furthermore,</w:t>
            </w:r>
            <w:r w:rsidR="00D24582">
              <w:t xml:space="preserve"> TSOs shall develop a methodology for merging of the IGMs.</w:t>
            </w:r>
          </w:p>
        </w:tc>
        <w:tc>
          <w:tcPr>
            <w:tcW w:w="1701" w:type="dxa"/>
            <w:tcBorders>
              <w:left w:val="single" w:sz="4" w:space="0" w:color="auto"/>
            </w:tcBorders>
          </w:tcPr>
          <w:p w14:paraId="0E83D4EC" w14:textId="0746C9D5" w:rsidR="00DA54EC" w:rsidRDefault="00040E9C" w:rsidP="00DA54EC">
            <w:pPr>
              <w:pStyle w:val="Blocksatz"/>
            </w:pPr>
            <w:r>
              <w:t>SOGL</w:t>
            </w:r>
            <w:r w:rsidR="00DA54EC">
              <w:t xml:space="preserve"> </w:t>
            </w:r>
            <w:r w:rsidR="00533AFB">
              <w:t>64</w:t>
            </w:r>
          </w:p>
          <w:p w14:paraId="728C17C1" w14:textId="77777777" w:rsidR="00DA54EC" w:rsidRDefault="00DA54EC" w:rsidP="0084062A">
            <w:pPr>
              <w:pStyle w:val="Blocksatz"/>
            </w:pPr>
          </w:p>
          <w:p w14:paraId="037845E5" w14:textId="77777777" w:rsidR="00D24582" w:rsidRDefault="00D24582" w:rsidP="0084062A">
            <w:pPr>
              <w:pStyle w:val="Blocksatz"/>
            </w:pPr>
          </w:p>
          <w:p w14:paraId="381E228E" w14:textId="77777777" w:rsidR="00D24582" w:rsidRDefault="00D24582" w:rsidP="0084062A">
            <w:pPr>
              <w:pStyle w:val="Blocksatz"/>
            </w:pPr>
          </w:p>
          <w:p w14:paraId="77207C8C" w14:textId="77777777" w:rsidR="00D24582" w:rsidRDefault="00D24582" w:rsidP="0084062A">
            <w:pPr>
              <w:pStyle w:val="Blocksatz"/>
            </w:pPr>
          </w:p>
          <w:p w14:paraId="3456F455" w14:textId="77777777" w:rsidR="00D24582" w:rsidRDefault="00D24582" w:rsidP="0084062A">
            <w:pPr>
              <w:pStyle w:val="Blocksatz"/>
            </w:pPr>
          </w:p>
          <w:p w14:paraId="06E822E5" w14:textId="77777777" w:rsidR="00D24582" w:rsidRDefault="00D24582" w:rsidP="0084062A">
            <w:pPr>
              <w:pStyle w:val="Blocksatz"/>
            </w:pPr>
          </w:p>
          <w:p w14:paraId="31B0B3B6" w14:textId="77777777" w:rsidR="00DF2EB7" w:rsidRDefault="00DF2EB7" w:rsidP="00DA54EC"/>
          <w:p w14:paraId="128F5FA5" w14:textId="41B9ADBF" w:rsidR="00D24582" w:rsidRPr="00DA54EC" w:rsidRDefault="00040E9C" w:rsidP="00DA54EC">
            <w:r>
              <w:t>SOGL</w:t>
            </w:r>
            <w:r w:rsidR="00D24582">
              <w:t xml:space="preserve"> 69</w:t>
            </w:r>
          </w:p>
        </w:tc>
      </w:tr>
      <w:tr w:rsidR="00AA4107" w14:paraId="26385E4E" w14:textId="77777777" w:rsidTr="0084062A">
        <w:trPr>
          <w:trHeight w:val="907"/>
        </w:trPr>
        <w:tc>
          <w:tcPr>
            <w:tcW w:w="7370" w:type="dxa"/>
            <w:tcBorders>
              <w:right w:val="single" w:sz="4" w:space="0" w:color="auto"/>
            </w:tcBorders>
          </w:tcPr>
          <w:p w14:paraId="537280B7" w14:textId="77777777" w:rsidR="00AA4107" w:rsidRPr="00F31367" w:rsidRDefault="00AA4107" w:rsidP="00EF71F6">
            <w:pPr>
              <w:pStyle w:val="Blocksatz"/>
            </w:pPr>
          </w:p>
          <w:p w14:paraId="6AC0BF93" w14:textId="452ADB35" w:rsidR="00A13987" w:rsidRDefault="00DF2998" w:rsidP="00D24582">
            <w:pPr>
              <w:pStyle w:val="Blocksatz"/>
            </w:pPr>
            <w:r>
              <w:t xml:space="preserve">All </w:t>
            </w:r>
            <w:r w:rsidRPr="00AA0C1D">
              <w:t xml:space="preserve">TSOs shall </w:t>
            </w:r>
            <w:r w:rsidR="00A13987">
              <w:t xml:space="preserve">contribute to the </w:t>
            </w:r>
            <w:r w:rsidRPr="00AA0C1D">
              <w:t>develop</w:t>
            </w:r>
            <w:r w:rsidR="00A13987">
              <w:t xml:space="preserve">ment of </w:t>
            </w:r>
            <w:r w:rsidRPr="00AA0C1D">
              <w:t xml:space="preserve">a common list of year-ahead scenarios for the following year </w:t>
            </w:r>
            <w:r>
              <w:t xml:space="preserve">to </w:t>
            </w:r>
            <w:r w:rsidRPr="00AA0C1D">
              <w:t>assess the operation of the interconnected transmission system.</w:t>
            </w:r>
            <w:r w:rsidR="00FF429A" w:rsidRPr="00270C0D">
              <w:t xml:space="preserve"> </w:t>
            </w:r>
          </w:p>
          <w:p w14:paraId="7F825519" w14:textId="77777777" w:rsidR="00AA0C1D" w:rsidRPr="00F31367" w:rsidRDefault="00AA0C1D" w:rsidP="00D24582">
            <w:pPr>
              <w:pStyle w:val="Blocksatz"/>
            </w:pPr>
          </w:p>
        </w:tc>
        <w:tc>
          <w:tcPr>
            <w:tcW w:w="1701" w:type="dxa"/>
            <w:tcBorders>
              <w:left w:val="single" w:sz="4" w:space="0" w:color="auto"/>
            </w:tcBorders>
          </w:tcPr>
          <w:p w14:paraId="46079319" w14:textId="77777777" w:rsidR="00AA4107" w:rsidRDefault="00AA4107" w:rsidP="0084062A">
            <w:pPr>
              <w:pStyle w:val="Blocksatz"/>
            </w:pPr>
          </w:p>
          <w:p w14:paraId="2BA2F907" w14:textId="0B4B492A" w:rsidR="00AA0C1D" w:rsidRDefault="00040E9C" w:rsidP="00D24582">
            <w:pPr>
              <w:pStyle w:val="Blocksatz"/>
            </w:pPr>
            <w:r>
              <w:t>SOGL</w:t>
            </w:r>
            <w:r w:rsidR="00DF2998">
              <w:t xml:space="preserve"> 65</w:t>
            </w:r>
            <w:r w:rsidR="00FF429A">
              <w:t>(1)</w:t>
            </w:r>
          </w:p>
        </w:tc>
      </w:tr>
      <w:tr w:rsidR="00A13987" w14:paraId="50DC2719" w14:textId="77777777" w:rsidTr="00D24582">
        <w:trPr>
          <w:trHeight w:val="474"/>
        </w:trPr>
        <w:tc>
          <w:tcPr>
            <w:tcW w:w="7370" w:type="dxa"/>
            <w:tcBorders>
              <w:right w:val="single" w:sz="4" w:space="0" w:color="auto"/>
            </w:tcBorders>
          </w:tcPr>
          <w:p w14:paraId="5B86AB3A" w14:textId="77777777" w:rsidR="00C5774E" w:rsidRDefault="00A13987" w:rsidP="00D24582">
            <w:pPr>
              <w:pStyle w:val="Blocksatz"/>
              <w:rPr>
                <w:color w:val="00B050"/>
              </w:rPr>
            </w:pPr>
            <w:r w:rsidRPr="00270C0D">
              <w:t xml:space="preserve">Each TSO shall determine </w:t>
            </w:r>
            <w:r w:rsidR="00C5774E">
              <w:t xml:space="preserve">and update the </w:t>
            </w:r>
            <w:r w:rsidRPr="00270C0D">
              <w:t>year-ahead individual grid model</w:t>
            </w:r>
            <w:r w:rsidR="00C5774E">
              <w:t>s</w:t>
            </w:r>
            <w:r w:rsidRPr="00270C0D">
              <w:t xml:space="preserve"> for each of the scenarios</w:t>
            </w:r>
            <w:r>
              <w:t xml:space="preserve">. </w:t>
            </w:r>
          </w:p>
        </w:tc>
        <w:tc>
          <w:tcPr>
            <w:tcW w:w="1701" w:type="dxa"/>
            <w:tcBorders>
              <w:left w:val="single" w:sz="4" w:space="0" w:color="auto"/>
            </w:tcBorders>
          </w:tcPr>
          <w:p w14:paraId="5863C88E" w14:textId="62427C64" w:rsidR="00A13987" w:rsidRDefault="00040E9C" w:rsidP="00A13987">
            <w:pPr>
              <w:pStyle w:val="Blocksatz"/>
            </w:pPr>
            <w:r>
              <w:t>SOGL</w:t>
            </w:r>
            <w:r w:rsidR="00A13987">
              <w:t xml:space="preserve"> 66(1)</w:t>
            </w:r>
          </w:p>
          <w:p w14:paraId="0711CC6D" w14:textId="070C502A" w:rsidR="00C5774E" w:rsidRDefault="00040E9C" w:rsidP="00D24582">
            <w:pPr>
              <w:pStyle w:val="Blocksatz"/>
            </w:pPr>
            <w:r>
              <w:t>SOGL</w:t>
            </w:r>
            <w:r w:rsidR="00D24582">
              <w:t xml:space="preserve"> </w:t>
            </w:r>
            <w:r w:rsidR="00C5774E">
              <w:t>68(1)</w:t>
            </w:r>
          </w:p>
        </w:tc>
      </w:tr>
      <w:tr w:rsidR="00C5774E" w14:paraId="33264272" w14:textId="77777777" w:rsidTr="00395E7E">
        <w:trPr>
          <w:trHeight w:val="575"/>
        </w:trPr>
        <w:tc>
          <w:tcPr>
            <w:tcW w:w="7370" w:type="dxa"/>
            <w:tcBorders>
              <w:right w:val="single" w:sz="4" w:space="0" w:color="auto"/>
            </w:tcBorders>
          </w:tcPr>
          <w:p w14:paraId="28D4B816" w14:textId="65732BB2" w:rsidR="00C5774E" w:rsidRPr="00270C0D" w:rsidRDefault="00C5774E" w:rsidP="00D24582">
            <w:pPr>
              <w:pStyle w:val="Blocksatz"/>
            </w:pPr>
            <w:r>
              <w:t xml:space="preserve">All TSOs shall coordinate the development and update of the </w:t>
            </w:r>
            <w:r w:rsidR="005237B0">
              <w:t>year ahead</w:t>
            </w:r>
            <w:r>
              <w:t xml:space="preserve"> IGMs. Nordic RSC shall support the TSO’s coordination where necessary.</w:t>
            </w:r>
          </w:p>
        </w:tc>
        <w:tc>
          <w:tcPr>
            <w:tcW w:w="1701" w:type="dxa"/>
            <w:tcBorders>
              <w:left w:val="single" w:sz="4" w:space="0" w:color="auto"/>
            </w:tcBorders>
          </w:tcPr>
          <w:p w14:paraId="03A6DAD8" w14:textId="77777777" w:rsidR="00C5774E" w:rsidRDefault="00C5774E" w:rsidP="00A13987">
            <w:pPr>
              <w:pStyle w:val="Blocksatz"/>
            </w:pPr>
          </w:p>
        </w:tc>
      </w:tr>
      <w:tr w:rsidR="00B554DF" w14:paraId="4A2D59EA" w14:textId="77777777" w:rsidTr="00B554DF">
        <w:trPr>
          <w:trHeight w:val="575"/>
        </w:trPr>
        <w:tc>
          <w:tcPr>
            <w:tcW w:w="7370" w:type="dxa"/>
            <w:tcBorders>
              <w:right w:val="single" w:sz="4" w:space="0" w:color="auto"/>
            </w:tcBorders>
          </w:tcPr>
          <w:p w14:paraId="5DCFEF2C" w14:textId="77777777" w:rsidR="00B554DF" w:rsidRDefault="00B554DF" w:rsidP="00D24582">
            <w:pPr>
              <w:pStyle w:val="Blocksatz"/>
            </w:pPr>
          </w:p>
          <w:p w14:paraId="0D174A12" w14:textId="537497A4" w:rsidR="00307522" w:rsidRDefault="00B554DF" w:rsidP="00087054">
            <w:pPr>
              <w:pStyle w:val="Blocksatz"/>
            </w:pPr>
            <w:r w:rsidRPr="00B554DF">
              <w:t>Nordic RSC shall support the TSOs in improving the quality of the IGMs for each time frame.</w:t>
            </w:r>
          </w:p>
        </w:tc>
        <w:tc>
          <w:tcPr>
            <w:tcW w:w="1701" w:type="dxa"/>
            <w:tcBorders>
              <w:left w:val="single" w:sz="4" w:space="0" w:color="auto"/>
            </w:tcBorders>
          </w:tcPr>
          <w:p w14:paraId="51815B45" w14:textId="77777777" w:rsidR="00B554DF" w:rsidRDefault="00B554DF" w:rsidP="00A13987">
            <w:pPr>
              <w:pStyle w:val="Blocksatz"/>
            </w:pPr>
          </w:p>
          <w:p w14:paraId="6A9751E3" w14:textId="5921FA66" w:rsidR="00B554DF" w:rsidRDefault="00040E9C" w:rsidP="00A13987">
            <w:pPr>
              <w:pStyle w:val="Blocksatz"/>
            </w:pPr>
            <w:r>
              <w:t>SOGL</w:t>
            </w:r>
            <w:r w:rsidR="00B554DF">
              <w:t xml:space="preserve"> 79</w:t>
            </w:r>
          </w:p>
        </w:tc>
      </w:tr>
    </w:tbl>
    <w:p w14:paraId="48DF47CA" w14:textId="77777777" w:rsidR="003C09DA" w:rsidRDefault="003C09DA" w:rsidP="001A5A96">
      <w:pPr>
        <w:pStyle w:val="Overskrift2"/>
      </w:pPr>
      <w:bookmarkStart w:id="13" w:name="_Ref467764582"/>
      <w:bookmarkStart w:id="14" w:name="_Toc87439997"/>
      <w:r>
        <w:lastRenderedPageBreak/>
        <w:t>Rules &amp; Methodologies</w:t>
      </w:r>
      <w:bookmarkEnd w:id="13"/>
      <w:bookmarkEnd w:id="14"/>
    </w:p>
    <w:p w14:paraId="3D0803A1" w14:textId="6AB722D4" w:rsidR="0048212A" w:rsidRDefault="0048212A" w:rsidP="0048212A">
      <w:pPr>
        <w:pStyle w:val="Overskrift3"/>
      </w:pPr>
      <w:bookmarkStart w:id="15" w:name="_Ref1566344"/>
      <w:bookmarkStart w:id="16" w:name="_Toc87439998"/>
      <w:r>
        <w:t>Common Grid Model Methodology (CGMM</w:t>
      </w:r>
      <w:r w:rsidR="00943519">
        <w:t>-</w:t>
      </w:r>
      <w:r w:rsidR="00577E5E">
        <w:t>v3</w:t>
      </w:r>
      <w:r>
        <w:t>)</w:t>
      </w:r>
      <w:bookmarkEnd w:id="15"/>
      <w:bookmarkEnd w:id="16"/>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4C0BEE" w14:paraId="3BD524CF" w14:textId="77777777" w:rsidTr="0084062A">
        <w:tc>
          <w:tcPr>
            <w:tcW w:w="7370" w:type="dxa"/>
            <w:tcBorders>
              <w:right w:val="single" w:sz="4" w:space="0" w:color="auto"/>
            </w:tcBorders>
          </w:tcPr>
          <w:p w14:paraId="6F80EAF8" w14:textId="3247951C" w:rsidR="00D028AF" w:rsidRDefault="00D7043F" w:rsidP="00D7043F">
            <w:pPr>
              <w:pStyle w:val="Blocksatz"/>
            </w:pPr>
            <w:r>
              <w:t xml:space="preserve">The </w:t>
            </w:r>
            <w:r w:rsidR="00A12423" w:rsidRPr="00A12423">
              <w:t>document “</w:t>
            </w:r>
            <w:r w:rsidR="00A12423" w:rsidRPr="00D7043F">
              <w:rPr>
                <w:i/>
              </w:rPr>
              <w:t>All TSOs’ proposal for a common grid model methodology in accordance with Articles 67(1) and 70(1) of Commission Regulation (EU) 2017/1485 of 02 August 2017 establishing a guideline on electricity transmission system operation</w:t>
            </w:r>
            <w:r w:rsidR="00A12423" w:rsidRPr="00A12423">
              <w:t>”</w:t>
            </w:r>
            <w:r w:rsidR="00CE1858">
              <w:t xml:space="preserve"> was</w:t>
            </w:r>
            <w:r>
              <w:t xml:space="preserve"> </w:t>
            </w:r>
            <w:r w:rsidRPr="00D7043F">
              <w:t>approved by NRAs according to Article</w:t>
            </w:r>
            <w:r>
              <w:t xml:space="preserve"> 6(2)</w:t>
            </w:r>
            <w:r w:rsidR="0074433E">
              <w:t>(b)</w:t>
            </w:r>
            <w:r w:rsidRPr="00D7043F">
              <w:t xml:space="preserve"> of </w:t>
            </w:r>
            <w:r>
              <w:t>SOGL</w:t>
            </w:r>
            <w:r w:rsidRPr="00D7043F">
              <w:t xml:space="preserve"> on </w:t>
            </w:r>
            <w:r>
              <w:t>11 June 2018</w:t>
            </w:r>
            <w:r w:rsidRPr="00D7043F">
              <w:t>.</w:t>
            </w:r>
          </w:p>
        </w:tc>
        <w:tc>
          <w:tcPr>
            <w:tcW w:w="1701" w:type="dxa"/>
            <w:tcBorders>
              <w:left w:val="single" w:sz="4" w:space="0" w:color="auto"/>
            </w:tcBorders>
          </w:tcPr>
          <w:p w14:paraId="5F6CDB3A" w14:textId="77777777" w:rsidR="004C0BEE" w:rsidRDefault="00040E9C" w:rsidP="0084062A">
            <w:pPr>
              <w:pStyle w:val="Blocksatz"/>
            </w:pPr>
            <w:r>
              <w:t>SOGL</w:t>
            </w:r>
            <w:r w:rsidR="004C0BEE">
              <w:t xml:space="preserve"> 6</w:t>
            </w:r>
            <w:r w:rsidR="00A12423">
              <w:t>7</w:t>
            </w:r>
          </w:p>
          <w:p w14:paraId="3FC320FB" w14:textId="55D0985B" w:rsidR="00A12423" w:rsidRDefault="00A12423" w:rsidP="0084062A">
            <w:pPr>
              <w:pStyle w:val="Blocksatz"/>
            </w:pPr>
            <w:r>
              <w:t>SOGL 70</w:t>
            </w:r>
          </w:p>
        </w:tc>
      </w:tr>
    </w:tbl>
    <w:p w14:paraId="3BE4383E" w14:textId="6E23285E" w:rsidR="003C09DA" w:rsidRDefault="003C09DA" w:rsidP="001A5A96">
      <w:pPr>
        <w:pStyle w:val="Overskrift2"/>
      </w:pPr>
      <w:bookmarkStart w:id="17" w:name="_Toc87439999"/>
      <w:r>
        <w:t>Operational Procedures</w:t>
      </w:r>
      <w:bookmarkEnd w:id="17"/>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84062A" w14:paraId="164253E6" w14:textId="77777777" w:rsidTr="0084062A">
        <w:tc>
          <w:tcPr>
            <w:tcW w:w="7370" w:type="dxa"/>
            <w:tcBorders>
              <w:right w:val="single" w:sz="4" w:space="0" w:color="auto"/>
            </w:tcBorders>
          </w:tcPr>
          <w:p w14:paraId="3D4E8129" w14:textId="3E71BECA" w:rsidR="0084062A" w:rsidRPr="00462C20" w:rsidRDefault="001A5A96" w:rsidP="0021562C">
            <w:pPr>
              <w:pStyle w:val="Blocksatz"/>
              <w:rPr>
                <w:color w:val="0070C0"/>
              </w:rPr>
            </w:pPr>
            <w:r>
              <w:t>O</w:t>
            </w:r>
            <w:r w:rsidR="0084062A" w:rsidRPr="00AA0C1D">
              <w:t xml:space="preserve">perational procedures </w:t>
            </w:r>
            <w:r w:rsidR="00D24582">
              <w:t xml:space="preserve">for </w:t>
            </w:r>
            <w:r>
              <w:t>building</w:t>
            </w:r>
            <w:r w:rsidR="00D24582">
              <w:t xml:space="preserve"> and exchange of IGMs are described in </w:t>
            </w:r>
            <w:r w:rsidR="0084062A" w:rsidRPr="00AA0C1D">
              <w:t>MLA</w:t>
            </w:r>
            <w:r w:rsidR="00D24582">
              <w:t xml:space="preserve"> and more specifically for Nordic TSOs in the </w:t>
            </w:r>
            <w:r w:rsidR="003D139C">
              <w:t>Nordic RSC Agreement</w:t>
            </w:r>
            <w:r w:rsidR="0084062A" w:rsidRPr="00AA0C1D">
              <w:t>.</w:t>
            </w:r>
          </w:p>
        </w:tc>
        <w:tc>
          <w:tcPr>
            <w:tcW w:w="1701" w:type="dxa"/>
            <w:tcBorders>
              <w:left w:val="single" w:sz="4" w:space="0" w:color="auto"/>
            </w:tcBorders>
          </w:tcPr>
          <w:p w14:paraId="07BDC52F" w14:textId="77777777" w:rsidR="0084062A" w:rsidRDefault="0084062A" w:rsidP="0084062A">
            <w:pPr>
              <w:pStyle w:val="Blocksatz"/>
            </w:pPr>
          </w:p>
        </w:tc>
      </w:tr>
    </w:tbl>
    <w:p w14:paraId="09995E66" w14:textId="77777777" w:rsidR="003C09DA" w:rsidRDefault="003C09DA" w:rsidP="00EB5463">
      <w:pPr>
        <w:pStyle w:val="Blocksatz"/>
        <w:rPr>
          <w:lang w:bidi="ar-QA"/>
        </w:rPr>
      </w:pPr>
    </w:p>
    <w:p w14:paraId="712C4F1D" w14:textId="3CA9DAC0" w:rsidR="00451970" w:rsidRDefault="00E454E2" w:rsidP="00451970">
      <w:pPr>
        <w:pStyle w:val="Overskrift1"/>
      </w:pPr>
      <w:bookmarkStart w:id="18" w:name="_Ref164526"/>
      <w:r>
        <w:t xml:space="preserve">Regional </w:t>
      </w:r>
      <w:r w:rsidR="00A12423">
        <w:t>Operational S</w:t>
      </w:r>
      <w:r w:rsidR="00451970" w:rsidRPr="00451970">
        <w:t xml:space="preserve">ecurity </w:t>
      </w:r>
      <w:bookmarkEnd w:id="18"/>
      <w:r>
        <w:t>Coordination</w:t>
      </w:r>
    </w:p>
    <w:p w14:paraId="4BE3F45C" w14:textId="77777777" w:rsidR="00451970" w:rsidRDefault="00451970" w:rsidP="00451970">
      <w:pPr>
        <w:pStyle w:val="Overskrift2"/>
      </w:pPr>
      <w:bookmarkStart w:id="19" w:name="_Toc87440000"/>
      <w:r>
        <w:t>Objective</w:t>
      </w:r>
      <w:bookmarkEnd w:id="19"/>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451970" w14:paraId="5D0163E8" w14:textId="77777777" w:rsidTr="00451970">
        <w:tc>
          <w:tcPr>
            <w:tcW w:w="7370" w:type="dxa"/>
            <w:tcBorders>
              <w:right w:val="single" w:sz="4" w:space="0" w:color="auto"/>
            </w:tcBorders>
          </w:tcPr>
          <w:p w14:paraId="01E6496D" w14:textId="5AB5660D" w:rsidR="00451970" w:rsidRDefault="00A12423" w:rsidP="00A12423">
            <w:pPr>
              <w:pStyle w:val="Blocksatz"/>
            </w:pPr>
            <w:r>
              <w:t>Coordinated</w:t>
            </w:r>
            <w:r w:rsidR="002A5867">
              <w:t xml:space="preserve"> </w:t>
            </w:r>
            <w:r>
              <w:t xml:space="preserve">operational </w:t>
            </w:r>
            <w:r w:rsidR="002A5867">
              <w:t>s</w:t>
            </w:r>
            <w:r w:rsidR="00CE2F61" w:rsidRPr="00AA0C1D">
              <w:t xml:space="preserve">ecurity </w:t>
            </w:r>
            <w:r w:rsidR="009175F9">
              <w:t>assessments and analyses are</w:t>
            </w:r>
            <w:r w:rsidR="00CE2F61" w:rsidRPr="00AA0C1D">
              <w:t xml:space="preserve"> required </w:t>
            </w:r>
            <w:r w:rsidR="002A5867">
              <w:t xml:space="preserve">in relevant time frames of the regional operational </w:t>
            </w:r>
            <w:r w:rsidR="009175F9">
              <w:t xml:space="preserve">security coordination </w:t>
            </w:r>
            <w:r w:rsidR="00CE2F61" w:rsidRPr="00AA0C1D">
              <w:t xml:space="preserve">to ensure that system operation is within the normal operating state of the </w:t>
            </w:r>
            <w:r w:rsidR="008002E4" w:rsidRPr="00AA0C1D">
              <w:t>tr</w:t>
            </w:r>
            <w:r w:rsidR="00CE2F61" w:rsidRPr="00AA0C1D">
              <w:t xml:space="preserve">ansmission </w:t>
            </w:r>
            <w:r w:rsidR="008002E4" w:rsidRPr="00AA0C1D">
              <w:t>s</w:t>
            </w:r>
            <w:r w:rsidR="00CE2F61" w:rsidRPr="00AA0C1D">
              <w:t>ystem</w:t>
            </w:r>
            <w:r w:rsidR="002A5867">
              <w:t xml:space="preserve">. </w:t>
            </w:r>
            <w:r>
              <w:t>Coordinated</w:t>
            </w:r>
            <w:r w:rsidR="00827E43">
              <w:t xml:space="preserve"> </w:t>
            </w:r>
            <w:r>
              <w:t xml:space="preserve">operational </w:t>
            </w:r>
            <w:r w:rsidR="00827E43">
              <w:t xml:space="preserve">security </w:t>
            </w:r>
            <w:r w:rsidR="009175F9">
              <w:t>assessments and analyses</w:t>
            </w:r>
            <w:r w:rsidR="00827E43">
              <w:t xml:space="preserve"> in </w:t>
            </w:r>
            <w:r w:rsidR="009175F9">
              <w:t xml:space="preserve">day-ahead and </w:t>
            </w:r>
            <w:r w:rsidR="00827E43">
              <w:t>intraday time</w:t>
            </w:r>
            <w:r>
              <w:t xml:space="preserve"> </w:t>
            </w:r>
            <w:r w:rsidR="00827E43">
              <w:t>frame</w:t>
            </w:r>
            <w:r w:rsidR="005237B0">
              <w:t>,</w:t>
            </w:r>
            <w:r w:rsidR="00827E43">
              <w:t xml:space="preserve"> are </w:t>
            </w:r>
            <w:r w:rsidR="009175F9">
              <w:t>important</w:t>
            </w:r>
            <w:r w:rsidR="00827E43">
              <w:t xml:space="preserve"> step</w:t>
            </w:r>
            <w:r w:rsidR="009175F9">
              <w:t>s</w:t>
            </w:r>
            <w:r w:rsidR="00827E43">
              <w:t xml:space="preserve"> for </w:t>
            </w:r>
            <w:r w:rsidR="00827E43" w:rsidRPr="00827E43">
              <w:t xml:space="preserve">a coordinated preparation </w:t>
            </w:r>
            <w:r w:rsidR="009175F9">
              <w:t xml:space="preserve">and activation </w:t>
            </w:r>
            <w:r w:rsidR="00827E43" w:rsidRPr="00827E43">
              <w:t xml:space="preserve">of </w:t>
            </w:r>
            <w:r w:rsidR="009175F9">
              <w:t xml:space="preserve">remedial actions in </w:t>
            </w:r>
            <w:r w:rsidR="00827E43" w:rsidRPr="00827E43">
              <w:t>real-time operation</w:t>
            </w:r>
            <w:r w:rsidR="00827E43">
              <w:t>.</w:t>
            </w:r>
          </w:p>
          <w:p w14:paraId="3D69B7C8" w14:textId="77777777" w:rsidR="009175F9" w:rsidRDefault="009175F9" w:rsidP="00A12423">
            <w:pPr>
              <w:pStyle w:val="Blocksatz"/>
            </w:pPr>
          </w:p>
          <w:p w14:paraId="6CD8C8EB" w14:textId="02F1217E" w:rsidR="009175F9" w:rsidRPr="00EB5463" w:rsidRDefault="009175F9" w:rsidP="00A12423">
            <w:pPr>
              <w:pStyle w:val="Blocksatz"/>
            </w:pPr>
            <w:r>
              <w:t>The TSO’s day-ahead and intraday regional operational security coordination is de</w:t>
            </w:r>
            <w:r w:rsidR="00C307D6">
              <w:t>fined</w:t>
            </w:r>
            <w:r>
              <w:t xml:space="preserve"> in Nordic ROSC Methodology.</w:t>
            </w:r>
          </w:p>
        </w:tc>
        <w:tc>
          <w:tcPr>
            <w:tcW w:w="1701" w:type="dxa"/>
            <w:tcBorders>
              <w:left w:val="single" w:sz="4" w:space="0" w:color="auto"/>
            </w:tcBorders>
          </w:tcPr>
          <w:p w14:paraId="53A0DB14" w14:textId="77777777" w:rsidR="00451970" w:rsidRDefault="00451970" w:rsidP="00451970">
            <w:pPr>
              <w:pStyle w:val="Blocksatz"/>
            </w:pPr>
          </w:p>
        </w:tc>
      </w:tr>
    </w:tbl>
    <w:p w14:paraId="1962ACBA" w14:textId="77777777" w:rsidR="003C09DA" w:rsidRDefault="003C09DA" w:rsidP="004B4F9F">
      <w:pPr>
        <w:pStyle w:val="Overskrift2"/>
      </w:pPr>
      <w:bookmarkStart w:id="20" w:name="_Toc87440001"/>
      <w:r>
        <w:t>Roles &amp; Responsibilities</w:t>
      </w:r>
      <w:bookmarkEnd w:id="20"/>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3C09DA" w14:paraId="20A98CC6" w14:textId="77777777" w:rsidTr="00883028">
        <w:tc>
          <w:tcPr>
            <w:tcW w:w="7370" w:type="dxa"/>
            <w:tcBorders>
              <w:right w:val="single" w:sz="4" w:space="0" w:color="auto"/>
            </w:tcBorders>
          </w:tcPr>
          <w:p w14:paraId="79890F31" w14:textId="493DFBBC" w:rsidR="00681439" w:rsidRPr="00AA0C1D" w:rsidRDefault="002C71D0" w:rsidP="00681439">
            <w:pPr>
              <w:pStyle w:val="Blocksatz"/>
            </w:pPr>
            <w:r>
              <w:t>Each</w:t>
            </w:r>
            <w:r w:rsidRPr="00AA0C1D">
              <w:t xml:space="preserve"> </w:t>
            </w:r>
            <w:r w:rsidR="00681439" w:rsidRPr="00AA0C1D">
              <w:t xml:space="preserve">TSO shall perform coordinated operational security analyses </w:t>
            </w:r>
            <w:r w:rsidR="0058001A">
              <w:t>with support of Nordic RSC</w:t>
            </w:r>
            <w:r w:rsidR="0058001A" w:rsidRPr="00AA0C1D">
              <w:t xml:space="preserve"> </w:t>
            </w:r>
            <w:r w:rsidR="00681439" w:rsidRPr="00AA0C1D">
              <w:t xml:space="preserve">for at least the following </w:t>
            </w:r>
            <w:r w:rsidR="00D96C9F" w:rsidRPr="00AA0C1D">
              <w:t>timeframes</w:t>
            </w:r>
            <w:r w:rsidR="00681439" w:rsidRPr="00AA0C1D">
              <w:t>:</w:t>
            </w:r>
          </w:p>
          <w:p w14:paraId="1A18D0C6" w14:textId="77777777" w:rsidR="00681439" w:rsidRPr="00AA0C1D" w:rsidRDefault="00681439" w:rsidP="0063023B">
            <w:pPr>
              <w:pStyle w:val="Blocksatz"/>
              <w:numPr>
                <w:ilvl w:val="0"/>
                <w:numId w:val="35"/>
              </w:numPr>
            </w:pPr>
            <w:r w:rsidRPr="00AA0C1D">
              <w:t>year-ahead</w:t>
            </w:r>
          </w:p>
          <w:p w14:paraId="450E0D14" w14:textId="77777777" w:rsidR="008154EC" w:rsidRDefault="00681439" w:rsidP="0063023B">
            <w:pPr>
              <w:pStyle w:val="Blocksatz"/>
              <w:numPr>
                <w:ilvl w:val="0"/>
                <w:numId w:val="35"/>
              </w:numPr>
            </w:pPr>
            <w:r w:rsidRPr="00AA0C1D">
              <w:t>day-ahead</w:t>
            </w:r>
          </w:p>
          <w:p w14:paraId="4718873D" w14:textId="77777777" w:rsidR="003C09DA" w:rsidRDefault="00681439" w:rsidP="0063023B">
            <w:pPr>
              <w:pStyle w:val="Blocksatz"/>
              <w:numPr>
                <w:ilvl w:val="0"/>
                <w:numId w:val="35"/>
              </w:numPr>
            </w:pPr>
            <w:r w:rsidRPr="00AA0C1D">
              <w:t>intraday</w:t>
            </w:r>
          </w:p>
          <w:p w14:paraId="13091A3C" w14:textId="77777777" w:rsidR="008154EC" w:rsidRPr="00AA0C1D" w:rsidRDefault="008154EC" w:rsidP="008154EC">
            <w:pPr>
              <w:pStyle w:val="Blocksatz"/>
            </w:pPr>
          </w:p>
        </w:tc>
        <w:tc>
          <w:tcPr>
            <w:tcW w:w="1701" w:type="dxa"/>
            <w:tcBorders>
              <w:left w:val="single" w:sz="4" w:space="0" w:color="auto"/>
            </w:tcBorders>
          </w:tcPr>
          <w:p w14:paraId="5F4038ED" w14:textId="2D9CB302" w:rsidR="003C09DA" w:rsidRDefault="00040E9C" w:rsidP="00883028">
            <w:pPr>
              <w:pStyle w:val="Blocksatz"/>
              <w:jc w:val="left"/>
            </w:pPr>
            <w:r>
              <w:t>SOGL</w:t>
            </w:r>
            <w:r w:rsidR="00681439">
              <w:t xml:space="preserve"> </w:t>
            </w:r>
            <w:r w:rsidR="00B4453B">
              <w:t>72</w:t>
            </w:r>
          </w:p>
          <w:p w14:paraId="3DD4C0BA" w14:textId="6F8C2B77" w:rsidR="008154EC" w:rsidRDefault="00040E9C" w:rsidP="00883028">
            <w:pPr>
              <w:pStyle w:val="Blocksatz"/>
              <w:jc w:val="left"/>
            </w:pPr>
            <w:r>
              <w:t>SOGL</w:t>
            </w:r>
            <w:r w:rsidR="008154EC">
              <w:t xml:space="preserve"> 73</w:t>
            </w:r>
          </w:p>
          <w:p w14:paraId="61D52691" w14:textId="48800ACD" w:rsidR="003C09DA" w:rsidRDefault="00040E9C" w:rsidP="00883028">
            <w:pPr>
              <w:pStyle w:val="Blocksatz"/>
              <w:jc w:val="left"/>
            </w:pPr>
            <w:r>
              <w:t>SOGL</w:t>
            </w:r>
            <w:r w:rsidR="008154EC">
              <w:t xml:space="preserve"> 74</w:t>
            </w:r>
          </w:p>
          <w:p w14:paraId="4935667C" w14:textId="77777777" w:rsidR="003C09DA" w:rsidRDefault="003C09DA" w:rsidP="00883028">
            <w:pPr>
              <w:pStyle w:val="Blocksatz"/>
            </w:pPr>
          </w:p>
        </w:tc>
      </w:tr>
      <w:tr w:rsidR="008154EC" w14:paraId="31596F05" w14:textId="77777777" w:rsidTr="00883028">
        <w:tc>
          <w:tcPr>
            <w:tcW w:w="7370" w:type="dxa"/>
            <w:tcBorders>
              <w:right w:val="single" w:sz="4" w:space="0" w:color="auto"/>
            </w:tcBorders>
          </w:tcPr>
          <w:p w14:paraId="238A46B9" w14:textId="24B46B07" w:rsidR="008154EC" w:rsidRPr="00AA0C1D" w:rsidDel="008154EC" w:rsidRDefault="00DC021C" w:rsidP="00CF61C8">
            <w:pPr>
              <w:pStyle w:val="Blocksatz"/>
            </w:pPr>
            <w:r>
              <w:t xml:space="preserve">Where two or more </w:t>
            </w:r>
            <w:r w:rsidR="008154EC">
              <w:t xml:space="preserve">TSOs </w:t>
            </w:r>
            <w:r>
              <w:t xml:space="preserve">consider it necessary, </w:t>
            </w:r>
            <w:r w:rsidR="008154EC">
              <w:t xml:space="preserve">they shall define principles and procedures for </w:t>
            </w:r>
            <w:r>
              <w:t>regional operational security coordination</w:t>
            </w:r>
            <w:r w:rsidR="00CE6DBF">
              <w:t xml:space="preserve"> for additional </w:t>
            </w:r>
            <w:r w:rsidR="00087054">
              <w:t>timeframes</w:t>
            </w:r>
            <w:r w:rsidR="00CE6DBF">
              <w:t xml:space="preserve"> (such as but not limited to week-ahead)</w:t>
            </w:r>
            <w:r w:rsidR="008154EC">
              <w:t>.</w:t>
            </w:r>
          </w:p>
        </w:tc>
        <w:tc>
          <w:tcPr>
            <w:tcW w:w="1701" w:type="dxa"/>
            <w:tcBorders>
              <w:left w:val="single" w:sz="4" w:space="0" w:color="auto"/>
            </w:tcBorders>
          </w:tcPr>
          <w:p w14:paraId="0AC7E2EE" w14:textId="50912AA9" w:rsidR="008154EC" w:rsidRDefault="00DC021C" w:rsidP="00883028">
            <w:pPr>
              <w:pStyle w:val="Blocksatz"/>
              <w:jc w:val="left"/>
            </w:pPr>
            <w:r>
              <w:t>SOGL 69(1)</w:t>
            </w:r>
          </w:p>
        </w:tc>
      </w:tr>
      <w:tr w:rsidR="00681439" w14:paraId="0EDB2454" w14:textId="77777777" w:rsidTr="00883028">
        <w:tc>
          <w:tcPr>
            <w:tcW w:w="7370" w:type="dxa"/>
            <w:tcBorders>
              <w:right w:val="single" w:sz="4" w:space="0" w:color="auto"/>
            </w:tcBorders>
          </w:tcPr>
          <w:p w14:paraId="4F04F340" w14:textId="77777777" w:rsidR="00681439" w:rsidRPr="00AA0C1D" w:rsidRDefault="00681439" w:rsidP="00681439">
            <w:pPr>
              <w:pStyle w:val="Blocksatz"/>
            </w:pPr>
          </w:p>
          <w:p w14:paraId="0BF4AF53" w14:textId="7C18E68C" w:rsidR="00681439" w:rsidRPr="00AA0C1D" w:rsidRDefault="00681439" w:rsidP="00681439">
            <w:pPr>
              <w:pStyle w:val="Blocksatz"/>
            </w:pPr>
            <w:r w:rsidRPr="00AA0C1D">
              <w:t xml:space="preserve">Each TSO shall perform operational security analyses and shall </w:t>
            </w:r>
            <w:r w:rsidR="00307522" w:rsidRPr="00AA0C1D">
              <w:t>consider</w:t>
            </w:r>
            <w:r w:rsidRPr="00AA0C1D">
              <w:t xml:space="preserve"> the planned outages when carrying out those analyses.</w:t>
            </w:r>
          </w:p>
        </w:tc>
        <w:tc>
          <w:tcPr>
            <w:tcW w:w="1701" w:type="dxa"/>
            <w:tcBorders>
              <w:left w:val="single" w:sz="4" w:space="0" w:color="auto"/>
            </w:tcBorders>
          </w:tcPr>
          <w:p w14:paraId="44F6CB29" w14:textId="77777777" w:rsidR="00681439" w:rsidRDefault="00681439" w:rsidP="00883028">
            <w:pPr>
              <w:pStyle w:val="Blocksatz"/>
              <w:jc w:val="left"/>
            </w:pPr>
          </w:p>
          <w:p w14:paraId="4ADCACB9" w14:textId="00899958" w:rsidR="00681439" w:rsidRDefault="00040E9C" w:rsidP="008D77BB">
            <w:pPr>
              <w:pStyle w:val="Blocksatz"/>
              <w:jc w:val="left"/>
            </w:pPr>
            <w:r>
              <w:t>SOGL</w:t>
            </w:r>
            <w:r w:rsidR="00681439">
              <w:t xml:space="preserve"> </w:t>
            </w:r>
            <w:r w:rsidR="00B4453B">
              <w:t>72</w:t>
            </w:r>
            <w:r w:rsidR="00681439">
              <w:t>(4)</w:t>
            </w:r>
          </w:p>
        </w:tc>
      </w:tr>
      <w:tr w:rsidR="00681439" w14:paraId="14CFEC8C" w14:textId="77777777" w:rsidTr="00883028">
        <w:tc>
          <w:tcPr>
            <w:tcW w:w="7370" w:type="dxa"/>
            <w:tcBorders>
              <w:right w:val="single" w:sz="4" w:space="0" w:color="auto"/>
            </w:tcBorders>
          </w:tcPr>
          <w:p w14:paraId="080D6C4E" w14:textId="77777777" w:rsidR="00681439" w:rsidRPr="00AA0C1D" w:rsidRDefault="00681439" w:rsidP="00681439">
            <w:pPr>
              <w:pStyle w:val="Blocksatz"/>
            </w:pPr>
          </w:p>
          <w:p w14:paraId="0600B23F" w14:textId="77777777" w:rsidR="00681439" w:rsidRPr="00AA0C1D" w:rsidRDefault="00681439" w:rsidP="00681439">
            <w:pPr>
              <w:pStyle w:val="Blocksatz"/>
            </w:pPr>
            <w:r w:rsidRPr="00AA0C1D">
              <w:t xml:space="preserve">Each TSO shall share the results of its operational security analysis with at least the TSOs whose elements are included in the TSO’s observability area and are affected according to that operational security analysis, </w:t>
            </w:r>
            <w:proofErr w:type="gramStart"/>
            <w:r w:rsidRPr="00AA0C1D">
              <w:t>in order to</w:t>
            </w:r>
            <w:proofErr w:type="gramEnd"/>
            <w:r w:rsidRPr="00AA0C1D">
              <w:t xml:space="preserve"> allow those </w:t>
            </w:r>
            <w:r w:rsidRPr="00AA0C1D">
              <w:lastRenderedPageBreak/>
              <w:t>TSOs to verify that operational security limits are respected within their control areas.</w:t>
            </w:r>
          </w:p>
        </w:tc>
        <w:tc>
          <w:tcPr>
            <w:tcW w:w="1701" w:type="dxa"/>
            <w:tcBorders>
              <w:left w:val="single" w:sz="4" w:space="0" w:color="auto"/>
            </w:tcBorders>
          </w:tcPr>
          <w:p w14:paraId="63C2E06B" w14:textId="77777777" w:rsidR="00681439" w:rsidRDefault="00681439" w:rsidP="00883028">
            <w:pPr>
              <w:pStyle w:val="Blocksatz"/>
              <w:jc w:val="left"/>
            </w:pPr>
          </w:p>
          <w:p w14:paraId="4628584A" w14:textId="39CC730D" w:rsidR="00681439" w:rsidRDefault="00040E9C" w:rsidP="00681439">
            <w:pPr>
              <w:pStyle w:val="Blocksatz"/>
              <w:jc w:val="left"/>
            </w:pPr>
            <w:r>
              <w:t>SOGL</w:t>
            </w:r>
            <w:r w:rsidR="00681439">
              <w:t xml:space="preserve"> 7</w:t>
            </w:r>
            <w:r w:rsidR="00B4453B">
              <w:t>2</w:t>
            </w:r>
            <w:r w:rsidR="00681439">
              <w:t>(5)</w:t>
            </w:r>
          </w:p>
        </w:tc>
      </w:tr>
      <w:tr w:rsidR="000A4970" w14:paraId="63DB9880" w14:textId="77777777" w:rsidTr="00883028">
        <w:tc>
          <w:tcPr>
            <w:tcW w:w="7370" w:type="dxa"/>
            <w:tcBorders>
              <w:right w:val="single" w:sz="4" w:space="0" w:color="auto"/>
            </w:tcBorders>
          </w:tcPr>
          <w:p w14:paraId="07B26C49" w14:textId="77777777" w:rsidR="000A4970" w:rsidRDefault="000A4970" w:rsidP="00681439">
            <w:pPr>
              <w:pStyle w:val="Blocksatz"/>
            </w:pPr>
          </w:p>
          <w:p w14:paraId="62F0F38D" w14:textId="38A62073" w:rsidR="0058001A" w:rsidRPr="00AA0C1D" w:rsidRDefault="0058001A" w:rsidP="00D7043F">
            <w:pPr>
              <w:pStyle w:val="Blocksatz"/>
            </w:pPr>
            <w:r>
              <w:t>When a TSO updates the year-ahead IGM which is significant for operational security</w:t>
            </w:r>
            <w:r w:rsidR="009429EF">
              <w:t xml:space="preserve"> analysis, the year-ahead common grid model shall be updated accordingly applying the methodology determined in accordance with Article 67(1) of SO GL with support of Nordic RSC. </w:t>
            </w:r>
            <w:r>
              <w:t xml:space="preserve"> </w:t>
            </w:r>
          </w:p>
        </w:tc>
        <w:tc>
          <w:tcPr>
            <w:tcW w:w="1701" w:type="dxa"/>
            <w:tcBorders>
              <w:left w:val="single" w:sz="4" w:space="0" w:color="auto"/>
            </w:tcBorders>
          </w:tcPr>
          <w:p w14:paraId="50BC498E" w14:textId="77777777" w:rsidR="000A4970" w:rsidRDefault="000A4970" w:rsidP="00883028">
            <w:pPr>
              <w:pStyle w:val="Blocksatz"/>
              <w:jc w:val="left"/>
            </w:pPr>
          </w:p>
          <w:p w14:paraId="625EA48D" w14:textId="4FFD2015" w:rsidR="00C22784" w:rsidRDefault="00040E9C" w:rsidP="00883028">
            <w:pPr>
              <w:pStyle w:val="Blocksatz"/>
              <w:jc w:val="left"/>
            </w:pPr>
            <w:r>
              <w:t>SOGL</w:t>
            </w:r>
            <w:r w:rsidR="00C22784">
              <w:t xml:space="preserve"> 68</w:t>
            </w:r>
          </w:p>
        </w:tc>
      </w:tr>
    </w:tbl>
    <w:p w14:paraId="7A765A30" w14:textId="77777777" w:rsidR="003C09DA" w:rsidRDefault="003C09DA" w:rsidP="001A5A96">
      <w:pPr>
        <w:pStyle w:val="Overskrift2"/>
      </w:pPr>
      <w:bookmarkStart w:id="21" w:name="_Toc87440002"/>
      <w:r>
        <w:t>Rules &amp; Methodologies</w:t>
      </w:r>
      <w:bookmarkEnd w:id="21"/>
    </w:p>
    <w:p w14:paraId="6D973BB2" w14:textId="2C8C3AE1" w:rsidR="0048212A" w:rsidRPr="0048212A" w:rsidRDefault="0048212A" w:rsidP="0048212A">
      <w:pPr>
        <w:pStyle w:val="Overskrift3"/>
      </w:pPr>
      <w:bookmarkStart w:id="22" w:name="_Toc87440003"/>
      <w:r>
        <w:t>Coordinated Security Analysis Methodology (CSAM)</w:t>
      </w:r>
      <w:bookmarkEnd w:id="22"/>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3C09DA" w14:paraId="6A2A7EEB" w14:textId="77777777" w:rsidTr="007B467E">
        <w:trPr>
          <w:trHeight w:val="669"/>
        </w:trPr>
        <w:tc>
          <w:tcPr>
            <w:tcW w:w="7370" w:type="dxa"/>
            <w:tcBorders>
              <w:right w:val="single" w:sz="4" w:space="0" w:color="auto"/>
            </w:tcBorders>
          </w:tcPr>
          <w:p w14:paraId="1AFB008A" w14:textId="7B88307E" w:rsidR="008671F4" w:rsidRPr="00AA4BC0" w:rsidRDefault="00BA03E6">
            <w:pPr>
              <w:pStyle w:val="Blocksatz"/>
            </w:pPr>
            <w:r>
              <w:t xml:space="preserve">The amendment to the previously agreed document </w:t>
            </w:r>
            <w:r w:rsidRPr="00A12423">
              <w:t>“</w:t>
            </w:r>
            <w:r w:rsidRPr="001C52CE">
              <w:rPr>
                <w:i/>
                <w:iCs/>
              </w:rPr>
              <w:t>M</w:t>
            </w:r>
            <w:r w:rsidRPr="00D7043F">
              <w:rPr>
                <w:i/>
              </w:rPr>
              <w:t>ethodology for coordinating operational security analysis in accordance with Article 75 of Commission Regulation (EU) 51 2017/1485 of 2 August 2017 establishing a guideline on electricity transmission system operation</w:t>
            </w:r>
            <w:r>
              <w:t xml:space="preserve">” </w:t>
            </w:r>
            <w:r w:rsidR="00A86463">
              <w:t xml:space="preserve">was </w:t>
            </w:r>
            <w:r>
              <w:t>approved by ACER according to Article 6(2)(c) and 7(4) of SOGL on 14 June 2021</w:t>
            </w:r>
            <w:r w:rsidR="00A86463">
              <w:t>.</w:t>
            </w:r>
          </w:p>
        </w:tc>
        <w:tc>
          <w:tcPr>
            <w:tcW w:w="1701" w:type="dxa"/>
            <w:tcBorders>
              <w:left w:val="single" w:sz="4" w:space="0" w:color="auto"/>
            </w:tcBorders>
          </w:tcPr>
          <w:p w14:paraId="2A506B20" w14:textId="3CC4B81F" w:rsidR="003C09DA" w:rsidRDefault="00040E9C" w:rsidP="00AA2CF7">
            <w:pPr>
              <w:pStyle w:val="Blocksatz"/>
              <w:jc w:val="left"/>
            </w:pPr>
            <w:r>
              <w:t>SOGL</w:t>
            </w:r>
            <w:r w:rsidR="005C3768">
              <w:t xml:space="preserve"> 75</w:t>
            </w:r>
          </w:p>
        </w:tc>
      </w:tr>
    </w:tbl>
    <w:p w14:paraId="20841EAA" w14:textId="71C76212" w:rsidR="008671F4" w:rsidRPr="0048212A" w:rsidRDefault="008671F4" w:rsidP="008671F4">
      <w:pPr>
        <w:pStyle w:val="Overskrift3"/>
      </w:pPr>
      <w:bookmarkStart w:id="23" w:name="_Toc87440004"/>
      <w:r>
        <w:t xml:space="preserve">Nordic </w:t>
      </w:r>
      <w:r w:rsidR="009175F9">
        <w:t xml:space="preserve">ROSC Methodology </w:t>
      </w:r>
      <w:r>
        <w:t>(NROSC)</w:t>
      </w:r>
      <w:bookmarkEnd w:id="23"/>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8671F4" w14:paraId="3A2DF2E8" w14:textId="77777777" w:rsidTr="00D0285B">
        <w:trPr>
          <w:trHeight w:val="669"/>
        </w:trPr>
        <w:tc>
          <w:tcPr>
            <w:tcW w:w="7370" w:type="dxa"/>
            <w:tcBorders>
              <w:right w:val="single" w:sz="4" w:space="0" w:color="auto"/>
            </w:tcBorders>
          </w:tcPr>
          <w:p w14:paraId="7FA52DF5" w14:textId="268ECAA8" w:rsidR="00CE57CB" w:rsidRDefault="00CE57CB" w:rsidP="0074433E">
            <w:pPr>
              <w:pStyle w:val="Blocksatz"/>
            </w:pPr>
            <w:r>
              <w:t xml:space="preserve">NROSC </w:t>
            </w:r>
            <w:r w:rsidRPr="00CE57CB">
              <w:t xml:space="preserve">is the common methodology of the </w:t>
            </w:r>
            <w:r>
              <w:t xml:space="preserve">Nordic TSOs </w:t>
            </w:r>
            <w:r w:rsidR="00C307D6">
              <w:t>which</w:t>
            </w:r>
            <w:r w:rsidRPr="00CE57CB">
              <w:t xml:space="preserve"> defines the</w:t>
            </w:r>
            <w:r>
              <w:t xml:space="preserve"> principles </w:t>
            </w:r>
            <w:r w:rsidRPr="00CE57CB">
              <w:t>for regional operational security coordination within Nordic CCR</w:t>
            </w:r>
            <w:r w:rsidR="00C307D6">
              <w:t>.</w:t>
            </w:r>
          </w:p>
          <w:p w14:paraId="1BE12B73" w14:textId="77777777" w:rsidR="00CE57CB" w:rsidRDefault="00CE57CB" w:rsidP="0074433E">
            <w:pPr>
              <w:pStyle w:val="Blocksatz"/>
            </w:pPr>
          </w:p>
          <w:p w14:paraId="5BF7BD8E" w14:textId="455BBC47" w:rsidR="0074433E" w:rsidRDefault="008671F4" w:rsidP="0074433E">
            <w:pPr>
              <w:pStyle w:val="Blocksatz"/>
            </w:pPr>
            <w:r w:rsidRPr="00A45170">
              <w:t>The document “</w:t>
            </w:r>
            <w:r w:rsidR="009175F9" w:rsidRPr="009175F9">
              <w:rPr>
                <w:i/>
              </w:rPr>
              <w:t xml:space="preserve">Nordic TSOs’ common methodology for regional operational security coordination </w:t>
            </w:r>
            <w:r w:rsidR="001C34AE">
              <w:rPr>
                <w:i/>
              </w:rPr>
              <w:t xml:space="preserve">in Nordic capacity calculation region </w:t>
            </w:r>
            <w:r w:rsidR="009175F9" w:rsidRPr="009175F9">
              <w:rPr>
                <w:i/>
              </w:rPr>
              <w:t>in accordance with Article 76 and Article 77 of the “Commission Regulation (EU) 2017/1485 of 2 August 2017” establishing a guideline on electricity transmission system operation</w:t>
            </w:r>
            <w:r w:rsidR="00CE57CB">
              <w:rPr>
                <w:i/>
              </w:rPr>
              <w:t>” (NROSC)</w:t>
            </w:r>
            <w:r w:rsidRPr="0074433E">
              <w:rPr>
                <w:i/>
              </w:rPr>
              <w:t>”</w:t>
            </w:r>
            <w:r w:rsidRPr="00A45170">
              <w:t xml:space="preserve"> </w:t>
            </w:r>
            <w:r w:rsidR="00CE1858">
              <w:t>was</w:t>
            </w:r>
            <w:r w:rsidR="001C34AE">
              <w:t xml:space="preserve"> approved by all Nordic </w:t>
            </w:r>
            <w:r w:rsidR="0074433E" w:rsidRPr="00D7043F">
              <w:t>NRA</w:t>
            </w:r>
            <w:r w:rsidR="001C34AE">
              <w:t>s</w:t>
            </w:r>
            <w:r w:rsidR="0074433E" w:rsidRPr="00D7043F">
              <w:t xml:space="preserve"> according to Article</w:t>
            </w:r>
            <w:r w:rsidR="0074433E">
              <w:t xml:space="preserve"> 6(3)(b) </w:t>
            </w:r>
            <w:r w:rsidR="0074433E" w:rsidRPr="00D7043F">
              <w:t xml:space="preserve">of </w:t>
            </w:r>
            <w:r w:rsidR="0074433E">
              <w:t>SOGL</w:t>
            </w:r>
            <w:r w:rsidR="001C34AE">
              <w:t xml:space="preserve"> on 21 September 2020</w:t>
            </w:r>
            <w:r w:rsidR="0074433E" w:rsidRPr="00D7043F">
              <w:t>.</w:t>
            </w:r>
            <w:r w:rsidR="0074433E">
              <w:t xml:space="preserve"> </w:t>
            </w:r>
          </w:p>
          <w:p w14:paraId="18AE7D83" w14:textId="4E4F920A" w:rsidR="008671F4" w:rsidRPr="00AA4BC0" w:rsidRDefault="008671F4" w:rsidP="0074433E">
            <w:pPr>
              <w:pStyle w:val="Blocksatz"/>
            </w:pPr>
          </w:p>
        </w:tc>
        <w:tc>
          <w:tcPr>
            <w:tcW w:w="1701" w:type="dxa"/>
            <w:tcBorders>
              <w:left w:val="single" w:sz="4" w:space="0" w:color="auto"/>
            </w:tcBorders>
          </w:tcPr>
          <w:p w14:paraId="36109382" w14:textId="5B4CBDD4" w:rsidR="008671F4" w:rsidRDefault="008671F4" w:rsidP="008671F4">
            <w:pPr>
              <w:pStyle w:val="Blocksatz"/>
              <w:jc w:val="left"/>
            </w:pPr>
            <w:r>
              <w:t>SOGL 76</w:t>
            </w:r>
          </w:p>
          <w:p w14:paraId="7911C7E1" w14:textId="34F7C3A2" w:rsidR="008671F4" w:rsidRDefault="008671F4" w:rsidP="008671F4">
            <w:pPr>
              <w:pStyle w:val="Blocksatz"/>
              <w:jc w:val="left"/>
            </w:pPr>
            <w:r>
              <w:t>SOGL 77</w:t>
            </w:r>
          </w:p>
        </w:tc>
      </w:tr>
    </w:tbl>
    <w:p w14:paraId="5FEECFA8" w14:textId="77777777" w:rsidR="003C09DA" w:rsidRDefault="003C09DA" w:rsidP="001A5A96">
      <w:pPr>
        <w:pStyle w:val="Overskrift2"/>
      </w:pPr>
      <w:bookmarkStart w:id="24" w:name="_Toc87440005"/>
      <w:r>
        <w:t>Operational Procedures</w:t>
      </w:r>
      <w:bookmarkEnd w:id="24"/>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3C09DA" w14:paraId="4CC9DA12" w14:textId="77777777" w:rsidTr="00883028">
        <w:tc>
          <w:tcPr>
            <w:tcW w:w="7370" w:type="dxa"/>
            <w:tcBorders>
              <w:right w:val="single" w:sz="4" w:space="0" w:color="auto"/>
            </w:tcBorders>
          </w:tcPr>
          <w:p w14:paraId="67A15119" w14:textId="5DA26C89" w:rsidR="003C09DA" w:rsidRPr="00AA4BC0" w:rsidRDefault="001A5A96" w:rsidP="0074433E">
            <w:pPr>
              <w:pStyle w:val="Blocksatz"/>
            </w:pPr>
            <w:r>
              <w:t>O</w:t>
            </w:r>
            <w:r w:rsidRPr="001A5A96">
              <w:t xml:space="preserve">perational procedures for </w:t>
            </w:r>
            <w:r>
              <w:t xml:space="preserve">coordinated operational security analysis </w:t>
            </w:r>
            <w:r w:rsidRPr="001A5A96">
              <w:t>are described in MLA and more specifically for Nordic TSOs in the Nordic RSC Agreement</w:t>
            </w:r>
            <w:r>
              <w:t>.</w:t>
            </w:r>
          </w:p>
        </w:tc>
        <w:tc>
          <w:tcPr>
            <w:tcW w:w="1701" w:type="dxa"/>
            <w:tcBorders>
              <w:left w:val="single" w:sz="4" w:space="0" w:color="auto"/>
            </w:tcBorders>
          </w:tcPr>
          <w:p w14:paraId="32B10998" w14:textId="77777777" w:rsidR="003C09DA" w:rsidRDefault="003C09DA" w:rsidP="00395E7E">
            <w:pPr>
              <w:pStyle w:val="Blocksatz"/>
              <w:jc w:val="left"/>
            </w:pPr>
          </w:p>
        </w:tc>
      </w:tr>
    </w:tbl>
    <w:p w14:paraId="76BFB3CF" w14:textId="77777777" w:rsidR="00451970" w:rsidRDefault="00451970" w:rsidP="008D50E8">
      <w:pPr>
        <w:pStyle w:val="Blocksatz"/>
        <w:rPr>
          <w:lang w:bidi="ar-QA"/>
        </w:rPr>
      </w:pPr>
    </w:p>
    <w:p w14:paraId="63E68616" w14:textId="18E91535" w:rsidR="00B93465" w:rsidRDefault="008768FC" w:rsidP="008768FC">
      <w:pPr>
        <w:pStyle w:val="Overskrift1"/>
      </w:pPr>
      <w:bookmarkStart w:id="25" w:name="_Ref164598"/>
      <w:r w:rsidRPr="008768FC">
        <w:t xml:space="preserve">Outage </w:t>
      </w:r>
      <w:r w:rsidR="0048212A">
        <w:t>Planning C</w:t>
      </w:r>
      <w:r w:rsidRPr="008768FC">
        <w:t>oordination</w:t>
      </w:r>
      <w:bookmarkEnd w:id="25"/>
    </w:p>
    <w:p w14:paraId="1DB2F002" w14:textId="77777777" w:rsidR="003568F0" w:rsidRDefault="003568F0" w:rsidP="00255F04">
      <w:pPr>
        <w:pStyle w:val="Overskrift2"/>
      </w:pPr>
      <w:bookmarkStart w:id="26" w:name="_Toc87440006"/>
      <w:r>
        <w:t>Objective</w:t>
      </w:r>
      <w:bookmarkEnd w:id="26"/>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3568F0" w14:paraId="71D65266" w14:textId="77777777" w:rsidTr="003568F0">
        <w:tc>
          <w:tcPr>
            <w:tcW w:w="7370" w:type="dxa"/>
            <w:tcBorders>
              <w:right w:val="single" w:sz="4" w:space="0" w:color="auto"/>
            </w:tcBorders>
          </w:tcPr>
          <w:p w14:paraId="0CCE9314" w14:textId="4A7B31FC" w:rsidR="00CE2F61" w:rsidRPr="00EB5463" w:rsidRDefault="0026145D" w:rsidP="00A63E93">
            <w:pPr>
              <w:pStyle w:val="Blocksatz"/>
            </w:pPr>
            <w:r w:rsidRPr="00AA4BC0">
              <w:t>O</w:t>
            </w:r>
            <w:r w:rsidR="00CE2F61" w:rsidRPr="00AA4BC0">
              <w:t xml:space="preserve">utages of </w:t>
            </w:r>
            <w:r w:rsidR="00637BF0">
              <w:t xml:space="preserve">at least </w:t>
            </w:r>
            <w:r w:rsidR="001778AE">
              <w:t>relevant assets</w:t>
            </w:r>
            <w:r w:rsidR="005237B0">
              <w:t>,</w:t>
            </w:r>
            <w:r w:rsidR="001778AE">
              <w:t xml:space="preserve"> such as </w:t>
            </w:r>
            <w:r w:rsidRPr="00AA4BC0">
              <w:t>g</w:t>
            </w:r>
            <w:r w:rsidR="00CE2F61" w:rsidRPr="00AA4BC0">
              <w:t xml:space="preserve">rid </w:t>
            </w:r>
            <w:r w:rsidRPr="00AA4BC0">
              <w:t>e</w:t>
            </w:r>
            <w:r w:rsidR="00CE2F61" w:rsidRPr="00AA4BC0">
              <w:t xml:space="preserve">lements, </w:t>
            </w:r>
            <w:r w:rsidRPr="00AA4BC0">
              <w:t>p</w:t>
            </w:r>
            <w:r w:rsidR="00CE2F61" w:rsidRPr="00AA4BC0">
              <w:t xml:space="preserve">ower </w:t>
            </w:r>
            <w:r w:rsidRPr="00AA4BC0">
              <w:t>g</w:t>
            </w:r>
            <w:r w:rsidR="00CE2F61" w:rsidRPr="00AA4BC0">
              <w:t xml:space="preserve">enerating </w:t>
            </w:r>
            <w:r w:rsidRPr="00AA4BC0">
              <w:t>m</w:t>
            </w:r>
            <w:r w:rsidR="00CE2F61" w:rsidRPr="00AA4BC0">
              <w:t xml:space="preserve">odules and </w:t>
            </w:r>
            <w:r w:rsidRPr="00AA4BC0">
              <w:t>d</w:t>
            </w:r>
            <w:r w:rsidR="00CE2F61" w:rsidRPr="00AA4BC0">
              <w:t xml:space="preserve">emand </w:t>
            </w:r>
            <w:r w:rsidRPr="00AA4BC0">
              <w:t>f</w:t>
            </w:r>
            <w:r w:rsidR="00CE2F61" w:rsidRPr="00AA4BC0">
              <w:t>acilities</w:t>
            </w:r>
            <w:r w:rsidR="005237B0">
              <w:t>,</w:t>
            </w:r>
            <w:r w:rsidR="00CE2F61" w:rsidRPr="00AA4BC0">
              <w:t xml:space="preserve"> </w:t>
            </w:r>
            <w:r w:rsidR="00395E7E">
              <w:t>need</w:t>
            </w:r>
            <w:r w:rsidR="00395E7E" w:rsidRPr="00AA4BC0">
              <w:t xml:space="preserve"> </w:t>
            </w:r>
            <w:r w:rsidR="00CE2F61" w:rsidRPr="00AA4BC0">
              <w:t>to be planned</w:t>
            </w:r>
            <w:r w:rsidRPr="00AA4BC0">
              <w:t xml:space="preserve"> </w:t>
            </w:r>
            <w:r w:rsidR="00395E7E">
              <w:t>and coordinate</w:t>
            </w:r>
            <w:r w:rsidR="00784712">
              <w:t>d</w:t>
            </w:r>
            <w:r w:rsidR="00395E7E">
              <w:t xml:space="preserve"> amongst the Nordic TSOs timely in advance </w:t>
            </w:r>
            <w:r w:rsidRPr="00AA4BC0">
              <w:t xml:space="preserve">for </w:t>
            </w:r>
            <w:r w:rsidR="00395E7E">
              <w:t>securing grid operation</w:t>
            </w:r>
            <w:r w:rsidR="00A63E93">
              <w:t xml:space="preserve">. </w:t>
            </w:r>
            <w:r w:rsidR="001778AE">
              <w:t xml:space="preserve">Nordic TSOs perform with the support of Nordic RSC outage planning coordination </w:t>
            </w:r>
            <w:proofErr w:type="gramStart"/>
            <w:r w:rsidR="001778AE" w:rsidRPr="001778AE">
              <w:t>in order to</w:t>
            </w:r>
            <w:proofErr w:type="gramEnd"/>
            <w:r w:rsidR="001778AE" w:rsidRPr="001778AE">
              <w:t xml:space="preserve"> monitor the availability status of </w:t>
            </w:r>
            <w:r w:rsidR="00637BF0">
              <w:t xml:space="preserve">at least </w:t>
            </w:r>
            <w:r w:rsidR="001778AE" w:rsidRPr="001778AE">
              <w:t xml:space="preserve">the relevant assets and coordinate the availability plans to ensure the operational security of the </w:t>
            </w:r>
            <w:r w:rsidR="001778AE">
              <w:t xml:space="preserve">Nordic </w:t>
            </w:r>
            <w:r w:rsidR="001778AE" w:rsidRPr="001778AE">
              <w:t>transmission system.</w:t>
            </w:r>
            <w:r w:rsidR="00CE2F61" w:rsidRPr="00AA4BC0">
              <w:t xml:space="preserve"> </w:t>
            </w:r>
          </w:p>
        </w:tc>
        <w:tc>
          <w:tcPr>
            <w:tcW w:w="1701" w:type="dxa"/>
            <w:tcBorders>
              <w:left w:val="single" w:sz="4" w:space="0" w:color="auto"/>
            </w:tcBorders>
          </w:tcPr>
          <w:p w14:paraId="6BED2534" w14:textId="77777777" w:rsidR="003568F0" w:rsidRDefault="003568F0" w:rsidP="003568F0">
            <w:pPr>
              <w:pStyle w:val="Blocksatz"/>
              <w:jc w:val="left"/>
            </w:pPr>
          </w:p>
          <w:p w14:paraId="03B92BEA" w14:textId="77777777" w:rsidR="003568F0" w:rsidRDefault="003568F0" w:rsidP="003568F0">
            <w:pPr>
              <w:pStyle w:val="Blocksatz"/>
            </w:pPr>
          </w:p>
        </w:tc>
      </w:tr>
    </w:tbl>
    <w:p w14:paraId="4623FB34" w14:textId="77777777" w:rsidR="003C09DA" w:rsidRDefault="003C09DA" w:rsidP="00255F04">
      <w:pPr>
        <w:pStyle w:val="Overskrift2"/>
      </w:pPr>
      <w:bookmarkStart w:id="27" w:name="_Toc87440007"/>
      <w:r>
        <w:lastRenderedPageBreak/>
        <w:t>Roles &amp; Responsibilities</w:t>
      </w:r>
      <w:bookmarkEnd w:id="27"/>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7B1D22" w14:paraId="57B7E85B" w14:textId="77777777" w:rsidTr="00AA2CF7">
        <w:tc>
          <w:tcPr>
            <w:tcW w:w="7370" w:type="dxa"/>
            <w:tcBorders>
              <w:right w:val="single" w:sz="4" w:space="0" w:color="auto"/>
            </w:tcBorders>
          </w:tcPr>
          <w:p w14:paraId="01401378" w14:textId="2AD99506" w:rsidR="0048212A" w:rsidRDefault="0048212A" w:rsidP="00940783">
            <w:pPr>
              <w:pStyle w:val="Blocksatz"/>
            </w:pPr>
            <w:r w:rsidRPr="00940783">
              <w:t>All TSOs agree</w:t>
            </w:r>
            <w:r w:rsidR="00434E21">
              <w:t>,</w:t>
            </w:r>
            <w:r w:rsidRPr="00940783">
              <w:t xml:space="preserve"> that the Nordic outage coordination region</w:t>
            </w:r>
            <w:r w:rsidR="00434E21">
              <w:t xml:space="preserve"> </w:t>
            </w:r>
            <w:r w:rsidRPr="00940783">
              <w:t xml:space="preserve">shall be equal to Nordic </w:t>
            </w:r>
            <w:r w:rsidR="00CE57CB">
              <w:t>CCR</w:t>
            </w:r>
            <w:r w:rsidR="00BE39C2" w:rsidRPr="00940783">
              <w:t>.</w:t>
            </w:r>
            <w:r w:rsidR="00BE39C2">
              <w:t xml:space="preserve"> </w:t>
            </w:r>
          </w:p>
          <w:p w14:paraId="4F3E304A" w14:textId="77777777" w:rsidR="0048212A" w:rsidRDefault="0048212A" w:rsidP="00940783">
            <w:pPr>
              <w:pStyle w:val="Blocksatz"/>
            </w:pPr>
          </w:p>
          <w:p w14:paraId="6D68E64F" w14:textId="43DA60BE" w:rsidR="007B1D22" w:rsidRPr="00EB5463" w:rsidRDefault="007B1D22" w:rsidP="00940783">
            <w:pPr>
              <w:pStyle w:val="Blocksatz"/>
            </w:pPr>
            <w:r>
              <w:t>All</w:t>
            </w:r>
            <w:r w:rsidRPr="00044A86">
              <w:t xml:space="preserve"> TSO</w:t>
            </w:r>
            <w:r>
              <w:t>s</w:t>
            </w:r>
            <w:r w:rsidRPr="00044A86">
              <w:t xml:space="preserve"> shall apply </w:t>
            </w:r>
            <w:r w:rsidR="00434E21">
              <w:t xml:space="preserve">regional </w:t>
            </w:r>
            <w:r w:rsidR="00CE57CB">
              <w:t xml:space="preserve">outage planning coordination in accordance with </w:t>
            </w:r>
            <w:r w:rsidRPr="00044A86">
              <w:t xml:space="preserve">the </w:t>
            </w:r>
            <w:r w:rsidR="00CE57CB">
              <w:t>“</w:t>
            </w:r>
            <w:r w:rsidR="00CE57CB" w:rsidRPr="00BC1676">
              <w:rPr>
                <w:i/>
                <w:iCs/>
              </w:rPr>
              <w:t>O</w:t>
            </w:r>
            <w:r w:rsidR="0048212A" w:rsidRPr="00BC1676">
              <w:rPr>
                <w:i/>
                <w:iCs/>
              </w:rPr>
              <w:t xml:space="preserve">perational </w:t>
            </w:r>
            <w:r w:rsidR="00CE57CB" w:rsidRPr="00BC1676">
              <w:rPr>
                <w:i/>
                <w:iCs/>
              </w:rPr>
              <w:t xml:space="preserve">Procedure </w:t>
            </w:r>
            <w:r w:rsidRPr="00BC1676">
              <w:rPr>
                <w:i/>
                <w:iCs/>
              </w:rPr>
              <w:t xml:space="preserve">for </w:t>
            </w:r>
            <w:r w:rsidR="00CE57CB" w:rsidRPr="00BC1676">
              <w:rPr>
                <w:i/>
                <w:iCs/>
              </w:rPr>
              <w:t>Outage Planning Coordination</w:t>
            </w:r>
            <w:r w:rsidR="00CE57CB">
              <w:t xml:space="preserve">” </w:t>
            </w:r>
            <w:r w:rsidR="00B83F00">
              <w:t>referred to in</w:t>
            </w:r>
            <w:r w:rsidR="0048212A">
              <w:t xml:space="preserve"> chapter</w:t>
            </w:r>
            <w:r w:rsidR="001F0EE5">
              <w:t xml:space="preserve"> </w:t>
            </w:r>
            <w:r w:rsidR="001F0EE5">
              <w:fldChar w:fldCharType="begin"/>
            </w:r>
            <w:r w:rsidR="001F0EE5">
              <w:instrText xml:space="preserve"> REF _Ref191756 \r \h </w:instrText>
            </w:r>
            <w:r w:rsidR="00940783">
              <w:instrText xml:space="preserve"> \* MERGEFORMAT </w:instrText>
            </w:r>
            <w:r w:rsidR="001F0EE5">
              <w:fldChar w:fldCharType="separate"/>
            </w:r>
            <w:r w:rsidR="00A21CB6">
              <w:t>4.4.1</w:t>
            </w:r>
            <w:r w:rsidR="001F0EE5">
              <w:fldChar w:fldCharType="end"/>
            </w:r>
            <w:r>
              <w:t>.</w:t>
            </w:r>
          </w:p>
        </w:tc>
        <w:tc>
          <w:tcPr>
            <w:tcW w:w="1701" w:type="dxa"/>
            <w:tcBorders>
              <w:left w:val="single" w:sz="4" w:space="0" w:color="auto"/>
            </w:tcBorders>
          </w:tcPr>
          <w:p w14:paraId="76B9CEEE" w14:textId="718A4447" w:rsidR="0048212A" w:rsidRDefault="0048212A" w:rsidP="00AA2CF7">
            <w:pPr>
              <w:pStyle w:val="Blocksatz"/>
              <w:jc w:val="left"/>
            </w:pPr>
            <w:r>
              <w:t>SOGL 80(1)</w:t>
            </w:r>
          </w:p>
          <w:p w14:paraId="5144707A" w14:textId="77777777" w:rsidR="0048212A" w:rsidRDefault="0048212A" w:rsidP="00AA2CF7">
            <w:pPr>
              <w:pStyle w:val="Blocksatz"/>
              <w:jc w:val="left"/>
            </w:pPr>
          </w:p>
          <w:p w14:paraId="499BE770" w14:textId="77777777" w:rsidR="0048212A" w:rsidRDefault="0048212A" w:rsidP="00AA2CF7">
            <w:pPr>
              <w:pStyle w:val="Blocksatz"/>
              <w:jc w:val="left"/>
            </w:pPr>
          </w:p>
          <w:p w14:paraId="6C585E88" w14:textId="5249142C" w:rsidR="007B1D22" w:rsidRDefault="00040E9C" w:rsidP="00AA2CF7">
            <w:pPr>
              <w:pStyle w:val="Blocksatz"/>
              <w:jc w:val="left"/>
            </w:pPr>
            <w:r>
              <w:t>SOGL</w:t>
            </w:r>
            <w:r w:rsidR="007B1D22">
              <w:t xml:space="preserve"> 83(2)</w:t>
            </w:r>
          </w:p>
          <w:p w14:paraId="152F6EBC" w14:textId="77777777" w:rsidR="007B1D22" w:rsidRDefault="007B1D22" w:rsidP="00AA2CF7">
            <w:pPr>
              <w:pStyle w:val="Blocksatz"/>
              <w:jc w:val="left"/>
            </w:pPr>
          </w:p>
        </w:tc>
      </w:tr>
    </w:tbl>
    <w:p w14:paraId="4559BE87" w14:textId="77777777" w:rsidR="003C09DA" w:rsidRDefault="003C09DA" w:rsidP="00255F04">
      <w:pPr>
        <w:pStyle w:val="Overskrift2"/>
      </w:pPr>
      <w:bookmarkStart w:id="28" w:name="_Toc87440008"/>
      <w:r>
        <w:t>Rules &amp; Methodologies</w:t>
      </w:r>
      <w:bookmarkEnd w:id="28"/>
    </w:p>
    <w:p w14:paraId="1D370A1B" w14:textId="78E7F875" w:rsidR="008671F4" w:rsidRPr="0048212A" w:rsidRDefault="008671F4" w:rsidP="008671F4">
      <w:pPr>
        <w:pStyle w:val="Overskrift3"/>
      </w:pPr>
      <w:bookmarkStart w:id="29" w:name="_Toc87440009"/>
      <w:r>
        <w:t>Relevant Asset Outage Coordination Methodology (RAOCM)</w:t>
      </w:r>
      <w:bookmarkEnd w:id="29"/>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8671F4" w14:paraId="500074C8" w14:textId="77777777" w:rsidTr="00D0285B">
        <w:trPr>
          <w:trHeight w:val="669"/>
        </w:trPr>
        <w:tc>
          <w:tcPr>
            <w:tcW w:w="7370" w:type="dxa"/>
            <w:tcBorders>
              <w:right w:val="single" w:sz="4" w:space="0" w:color="auto"/>
            </w:tcBorders>
          </w:tcPr>
          <w:p w14:paraId="638B5E23" w14:textId="7524C345" w:rsidR="008671F4" w:rsidRPr="00AA4BC0" w:rsidRDefault="008671F4">
            <w:pPr>
              <w:pStyle w:val="Blocksatz"/>
            </w:pPr>
            <w:r w:rsidRPr="006947BD">
              <w:t xml:space="preserve">The document </w:t>
            </w:r>
            <w:r w:rsidRPr="00594642">
              <w:rPr>
                <w:i/>
              </w:rPr>
              <w:t>“</w:t>
            </w:r>
            <w:r w:rsidR="001C52CE">
              <w:rPr>
                <w:i/>
              </w:rPr>
              <w:t>M</w:t>
            </w:r>
            <w:r w:rsidRPr="00594642">
              <w:rPr>
                <w:i/>
              </w:rPr>
              <w:t>ethodology for assessing the relevance of assets for outage coordination in accordance with Article 84 of Commission Regulation (EU) 2017/1485 of 2 August 2017 establishing a guideline on electricity transmission system operation”</w:t>
            </w:r>
            <w:r w:rsidR="00594642" w:rsidRPr="00A12423">
              <w:t xml:space="preserve"> </w:t>
            </w:r>
            <w:r w:rsidR="00CE1858">
              <w:t>was</w:t>
            </w:r>
            <w:r w:rsidR="00B83F00">
              <w:t xml:space="preserve"> </w:t>
            </w:r>
            <w:r w:rsidR="00B83F00" w:rsidRPr="00D7043F">
              <w:t xml:space="preserve">approved by </w:t>
            </w:r>
            <w:r w:rsidR="00B83F00">
              <w:t xml:space="preserve">ACER </w:t>
            </w:r>
            <w:r w:rsidR="00B83F00" w:rsidRPr="00D7043F">
              <w:t>according to Article</w:t>
            </w:r>
            <w:r w:rsidR="00B83F00">
              <w:t xml:space="preserve"> 6(3)(c)</w:t>
            </w:r>
            <w:r w:rsidR="00B83F00" w:rsidRPr="00D7043F">
              <w:t xml:space="preserve"> of </w:t>
            </w:r>
            <w:r w:rsidR="00B83F00">
              <w:t>SOGL</w:t>
            </w:r>
            <w:r w:rsidR="00B83F00" w:rsidRPr="00D7043F">
              <w:t xml:space="preserve"> on </w:t>
            </w:r>
            <w:r w:rsidR="00B83F00">
              <w:t>19 June 2019</w:t>
            </w:r>
            <w:r w:rsidR="00594642" w:rsidRPr="00D7043F">
              <w:t>.</w:t>
            </w:r>
          </w:p>
        </w:tc>
        <w:tc>
          <w:tcPr>
            <w:tcW w:w="1701" w:type="dxa"/>
            <w:tcBorders>
              <w:left w:val="single" w:sz="4" w:space="0" w:color="auto"/>
            </w:tcBorders>
          </w:tcPr>
          <w:p w14:paraId="74A7449F" w14:textId="431F8AE8" w:rsidR="008671F4" w:rsidRDefault="008671F4" w:rsidP="008671F4">
            <w:pPr>
              <w:pStyle w:val="Blocksatz"/>
              <w:jc w:val="left"/>
            </w:pPr>
            <w:r>
              <w:t>SOGL 84</w:t>
            </w:r>
          </w:p>
        </w:tc>
      </w:tr>
    </w:tbl>
    <w:p w14:paraId="491DC617" w14:textId="77777777" w:rsidR="003C09DA" w:rsidRDefault="003C09DA" w:rsidP="00255F04">
      <w:pPr>
        <w:pStyle w:val="Overskrift2"/>
      </w:pPr>
      <w:bookmarkStart w:id="30" w:name="_Toc87440010"/>
      <w:r>
        <w:t>Operational Procedures</w:t>
      </w:r>
      <w:bookmarkEnd w:id="30"/>
    </w:p>
    <w:p w14:paraId="408F7795" w14:textId="5C96E461" w:rsidR="008671F4" w:rsidRPr="0048212A" w:rsidRDefault="008671F4" w:rsidP="008671F4">
      <w:pPr>
        <w:pStyle w:val="Overskrift3"/>
      </w:pPr>
      <w:bookmarkStart w:id="31" w:name="_Ref191756"/>
      <w:bookmarkStart w:id="32" w:name="_Toc87440011"/>
      <w:r>
        <w:t xml:space="preserve">Operational Procedure for </w:t>
      </w:r>
      <w:r w:rsidR="00734835">
        <w:t>Outage Planning Coordination</w:t>
      </w:r>
      <w:bookmarkEnd w:id="31"/>
      <w:bookmarkEnd w:id="32"/>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3C09DA" w14:paraId="60651A60" w14:textId="77777777" w:rsidTr="00883028">
        <w:tc>
          <w:tcPr>
            <w:tcW w:w="7370" w:type="dxa"/>
            <w:tcBorders>
              <w:right w:val="single" w:sz="4" w:space="0" w:color="auto"/>
            </w:tcBorders>
          </w:tcPr>
          <w:p w14:paraId="164532B4" w14:textId="45F03B9E" w:rsidR="003C09DA" w:rsidRPr="00EB5463" w:rsidRDefault="008671F4">
            <w:pPr>
              <w:pStyle w:val="Blocksatz"/>
            </w:pPr>
            <w:r w:rsidRPr="006947BD">
              <w:t xml:space="preserve">The </w:t>
            </w:r>
            <w:r w:rsidR="00594642">
              <w:t>TSOs</w:t>
            </w:r>
            <w:r w:rsidR="00594642" w:rsidRPr="006947BD">
              <w:t xml:space="preserve"> </w:t>
            </w:r>
            <w:r w:rsidRPr="006947BD">
              <w:t xml:space="preserve">agree that the </w:t>
            </w:r>
            <w:r w:rsidRPr="00594642">
              <w:rPr>
                <w:i/>
              </w:rPr>
              <w:t>“Operational Procedure for Outage Planning Coordination”</w:t>
            </w:r>
            <w:r w:rsidR="00B83F00">
              <w:rPr>
                <w:iCs/>
              </w:rPr>
              <w:t>, which is an appendix to this Annex,</w:t>
            </w:r>
            <w:r w:rsidRPr="006947BD">
              <w:t xml:space="preserve"> </w:t>
            </w:r>
            <w:r w:rsidR="00594642">
              <w:t>is accepted by all TSOs.</w:t>
            </w:r>
          </w:p>
        </w:tc>
        <w:tc>
          <w:tcPr>
            <w:tcW w:w="1701" w:type="dxa"/>
            <w:tcBorders>
              <w:left w:val="single" w:sz="4" w:space="0" w:color="auto"/>
            </w:tcBorders>
          </w:tcPr>
          <w:p w14:paraId="77B6EEC4" w14:textId="2C20CAC3" w:rsidR="00C418C8" w:rsidRDefault="008671F4" w:rsidP="00C418C8">
            <w:pPr>
              <w:pStyle w:val="Blocksatz"/>
              <w:jc w:val="left"/>
            </w:pPr>
            <w:r>
              <w:t>SO</w:t>
            </w:r>
            <w:r w:rsidR="00C418C8">
              <w:t>GL 83(1)</w:t>
            </w:r>
          </w:p>
          <w:p w14:paraId="3FF2CB11" w14:textId="77777777" w:rsidR="003C09DA" w:rsidRDefault="003C09DA" w:rsidP="00883028">
            <w:pPr>
              <w:pStyle w:val="Blocksatz"/>
            </w:pPr>
          </w:p>
        </w:tc>
      </w:tr>
    </w:tbl>
    <w:p w14:paraId="662D0CFE" w14:textId="77777777" w:rsidR="00C32FAB" w:rsidRDefault="00C32FAB" w:rsidP="000E0FCD">
      <w:pPr>
        <w:pStyle w:val="Blocksatz"/>
        <w:rPr>
          <w:lang w:bidi="ar-QA"/>
        </w:rPr>
      </w:pPr>
    </w:p>
    <w:p w14:paraId="7BF687A6" w14:textId="2DD43ECE" w:rsidR="00321F6D" w:rsidRDefault="00321F6D" w:rsidP="00321F6D">
      <w:pPr>
        <w:pStyle w:val="Overskrift1"/>
      </w:pPr>
      <w:bookmarkStart w:id="33" w:name="_Ref183281"/>
      <w:r w:rsidRPr="00321F6D">
        <w:t>Adequacy</w:t>
      </w:r>
      <w:bookmarkEnd w:id="33"/>
      <w:r w:rsidR="00711465">
        <w:t xml:space="preserve"> Assessment</w:t>
      </w:r>
    </w:p>
    <w:p w14:paraId="3BBEF4A6" w14:textId="77777777" w:rsidR="00321F6D" w:rsidRDefault="00321F6D" w:rsidP="00321F6D">
      <w:pPr>
        <w:pStyle w:val="Overskrift2"/>
      </w:pPr>
      <w:bookmarkStart w:id="34" w:name="_Toc87440012"/>
      <w:r>
        <w:t>Objective</w:t>
      </w:r>
      <w:bookmarkEnd w:id="34"/>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321F6D" w14:paraId="33A330DA" w14:textId="77777777" w:rsidTr="00104B82">
        <w:tc>
          <w:tcPr>
            <w:tcW w:w="7370" w:type="dxa"/>
            <w:tcBorders>
              <w:right w:val="single" w:sz="4" w:space="0" w:color="auto"/>
            </w:tcBorders>
          </w:tcPr>
          <w:p w14:paraId="27BC5C33" w14:textId="6A81C83D" w:rsidR="00066826" w:rsidRDefault="00CE2F61" w:rsidP="00CE2F61">
            <w:pPr>
              <w:pStyle w:val="Blocksatz"/>
            </w:pPr>
            <w:r w:rsidRPr="00044A86">
              <w:t>Adequacy deals with the ability of a power system to supply the demand in all the steady states that the power system may</w:t>
            </w:r>
            <w:r w:rsidR="00593A3A" w:rsidRPr="00044A86">
              <w:t xml:space="preserve"> face. It is a function of the t</w:t>
            </w:r>
            <w:r w:rsidRPr="00044A86">
              <w:t xml:space="preserve">opology of the grid as well as the </w:t>
            </w:r>
            <w:r w:rsidR="00593A3A" w:rsidRPr="00044A86">
              <w:t>g</w:t>
            </w:r>
            <w:r w:rsidRPr="00044A86">
              <w:t>eneration and demand</w:t>
            </w:r>
            <w:r w:rsidR="00025EB0">
              <w:t>,</w:t>
            </w:r>
            <w:r w:rsidRPr="00044A86">
              <w:t xml:space="preserve"> both directly and indirectly connected to it. </w:t>
            </w:r>
            <w:r w:rsidR="00025EB0">
              <w:t>Basically,</w:t>
            </w:r>
            <w:r w:rsidR="00F60CA0">
              <w:t xml:space="preserve"> adequacy is about balancing generation and consumption and transmission through </w:t>
            </w:r>
            <w:r w:rsidR="00025EB0">
              <w:t>congestion</w:t>
            </w:r>
            <w:r w:rsidR="00F60CA0">
              <w:t>.</w:t>
            </w:r>
            <w:r w:rsidRPr="00044A86">
              <w:t xml:space="preserve"> </w:t>
            </w:r>
          </w:p>
          <w:p w14:paraId="0029C67B" w14:textId="77777777" w:rsidR="00066826" w:rsidRDefault="00066826" w:rsidP="00CE2F61">
            <w:pPr>
              <w:pStyle w:val="Blocksatz"/>
            </w:pPr>
          </w:p>
          <w:p w14:paraId="5DB007C4" w14:textId="0E3460A5" w:rsidR="00CE2F61" w:rsidRPr="00EB5463" w:rsidRDefault="00066826" w:rsidP="00AA2CF7">
            <w:pPr>
              <w:pStyle w:val="Blocksatz"/>
            </w:pPr>
            <w:r>
              <w:t>Nordic TSOs perform with the support of the Nordic RSC</w:t>
            </w:r>
            <w:r w:rsidR="00637BF0">
              <w:t>, Nordic</w:t>
            </w:r>
            <w:r>
              <w:t xml:space="preserve"> adequacy assessment </w:t>
            </w:r>
            <w:r w:rsidR="00B47EC9">
              <w:t xml:space="preserve">and forecast </w:t>
            </w:r>
            <w:proofErr w:type="gramStart"/>
            <w:r w:rsidRPr="001778AE">
              <w:t>in order to</w:t>
            </w:r>
            <w:proofErr w:type="gramEnd"/>
            <w:r w:rsidRPr="001778AE">
              <w:t xml:space="preserve"> ensure the operational security of the </w:t>
            </w:r>
            <w:r>
              <w:t xml:space="preserve">Nordic </w:t>
            </w:r>
            <w:r w:rsidRPr="001778AE">
              <w:t>transmission system.</w:t>
            </w:r>
          </w:p>
        </w:tc>
        <w:tc>
          <w:tcPr>
            <w:tcW w:w="1701" w:type="dxa"/>
            <w:tcBorders>
              <w:left w:val="single" w:sz="4" w:space="0" w:color="auto"/>
            </w:tcBorders>
          </w:tcPr>
          <w:p w14:paraId="4526D50D" w14:textId="77777777" w:rsidR="00321F6D" w:rsidRDefault="00321F6D" w:rsidP="00104B82">
            <w:pPr>
              <w:pStyle w:val="Blocksatz"/>
              <w:jc w:val="left"/>
            </w:pPr>
          </w:p>
          <w:p w14:paraId="7DC83CB2" w14:textId="77777777" w:rsidR="00321F6D" w:rsidRDefault="00321F6D" w:rsidP="00104B82">
            <w:pPr>
              <w:pStyle w:val="Blocksatz"/>
              <w:jc w:val="left"/>
            </w:pPr>
          </w:p>
          <w:p w14:paraId="05CD64DD" w14:textId="77777777" w:rsidR="00321F6D" w:rsidRDefault="00321F6D" w:rsidP="00104B82">
            <w:pPr>
              <w:pStyle w:val="Blocksatz"/>
            </w:pPr>
          </w:p>
        </w:tc>
      </w:tr>
    </w:tbl>
    <w:p w14:paraId="1695E860" w14:textId="77777777" w:rsidR="00593A3A" w:rsidRDefault="00593A3A" w:rsidP="001A5A96">
      <w:pPr>
        <w:pStyle w:val="Overskrift2"/>
      </w:pPr>
      <w:bookmarkStart w:id="35" w:name="_Toc87440013"/>
      <w:r>
        <w:t>Roles &amp; Responsibilities</w:t>
      </w:r>
      <w:bookmarkEnd w:id="35"/>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044A86" w14:paraId="23941A83" w14:textId="77777777" w:rsidTr="006C322B">
        <w:tc>
          <w:tcPr>
            <w:tcW w:w="7370" w:type="dxa"/>
            <w:tcBorders>
              <w:right w:val="single" w:sz="4" w:space="0" w:color="auto"/>
            </w:tcBorders>
          </w:tcPr>
          <w:p w14:paraId="72D24B48" w14:textId="1AB4092F" w:rsidR="00734835" w:rsidRDefault="00734835" w:rsidP="00734835">
            <w:pPr>
              <w:pStyle w:val="Blocksatz"/>
            </w:pPr>
            <w:r>
              <w:t>All TSOs agree that</w:t>
            </w:r>
            <w:r w:rsidRPr="00AA2CF7">
              <w:t xml:space="preserve"> </w:t>
            </w:r>
            <w:r>
              <w:t>the Nordic adequacy coordination r</w:t>
            </w:r>
            <w:r w:rsidRPr="00AA2CF7">
              <w:t>egion</w:t>
            </w:r>
            <w:r w:rsidR="00434E21">
              <w:t xml:space="preserve"> </w:t>
            </w:r>
            <w:r>
              <w:t xml:space="preserve">shall be equal to Nordic </w:t>
            </w:r>
            <w:r w:rsidR="00B83F00">
              <w:t>CCR</w:t>
            </w:r>
            <w:r w:rsidR="00D325D3">
              <w:t>.</w:t>
            </w:r>
            <w:r>
              <w:t xml:space="preserve"> </w:t>
            </w:r>
          </w:p>
          <w:p w14:paraId="089EFC66" w14:textId="77777777" w:rsidR="00734835" w:rsidRDefault="00734835" w:rsidP="00734835">
            <w:pPr>
              <w:pStyle w:val="Blocksatz"/>
            </w:pPr>
          </w:p>
          <w:p w14:paraId="100061CD" w14:textId="38D4EF6D" w:rsidR="00044A86" w:rsidRPr="00EB5463" w:rsidRDefault="00734835" w:rsidP="00594642">
            <w:pPr>
              <w:pStyle w:val="Blocksatz"/>
            </w:pPr>
            <w:r>
              <w:t>All</w:t>
            </w:r>
            <w:r w:rsidRPr="00044A86">
              <w:t xml:space="preserve"> TSO</w:t>
            </w:r>
            <w:r>
              <w:t>s</w:t>
            </w:r>
            <w:r w:rsidRPr="00044A86">
              <w:t xml:space="preserve"> shall apply </w:t>
            </w:r>
            <w:r w:rsidR="00637BF0">
              <w:t>Nordic</w:t>
            </w:r>
            <w:r w:rsidR="00B83F00">
              <w:t xml:space="preserve"> adequacy assessment in accordance with </w:t>
            </w:r>
            <w:r w:rsidRPr="00044A86">
              <w:t xml:space="preserve">the </w:t>
            </w:r>
            <w:r w:rsidR="00B83F00" w:rsidRPr="00BC1676">
              <w:rPr>
                <w:i/>
                <w:iCs/>
              </w:rPr>
              <w:t xml:space="preserve">“Operational Procedure </w:t>
            </w:r>
            <w:r w:rsidRPr="00BC1676">
              <w:rPr>
                <w:i/>
                <w:iCs/>
              </w:rPr>
              <w:t xml:space="preserve">for </w:t>
            </w:r>
            <w:r w:rsidR="00637BF0">
              <w:rPr>
                <w:i/>
                <w:iCs/>
              </w:rPr>
              <w:t>Nordic</w:t>
            </w:r>
            <w:r w:rsidR="00B83F00" w:rsidRPr="00BC1676">
              <w:rPr>
                <w:i/>
                <w:iCs/>
              </w:rPr>
              <w:t xml:space="preserve"> Adequacy Assessment”</w:t>
            </w:r>
            <w:r w:rsidR="00B83F00">
              <w:t xml:space="preserve"> referred to in</w:t>
            </w:r>
            <w:r>
              <w:t xml:space="preserve"> chapter </w:t>
            </w:r>
            <w:r w:rsidR="00594642">
              <w:fldChar w:fldCharType="begin"/>
            </w:r>
            <w:r w:rsidR="00594642">
              <w:instrText xml:space="preserve"> REF _Ref1568742 \r \h </w:instrText>
            </w:r>
            <w:r w:rsidR="00594642">
              <w:fldChar w:fldCharType="separate"/>
            </w:r>
            <w:r w:rsidR="00A21CB6">
              <w:t>5.3.1</w:t>
            </w:r>
            <w:r w:rsidR="00594642">
              <w:fldChar w:fldCharType="end"/>
            </w:r>
          </w:p>
        </w:tc>
        <w:tc>
          <w:tcPr>
            <w:tcW w:w="1701" w:type="dxa"/>
            <w:tcBorders>
              <w:left w:val="single" w:sz="4" w:space="0" w:color="auto"/>
            </w:tcBorders>
          </w:tcPr>
          <w:p w14:paraId="79B4AE6A" w14:textId="10357FE0" w:rsidR="00044A86" w:rsidRDefault="00734835" w:rsidP="006C322B">
            <w:pPr>
              <w:pStyle w:val="Blocksatz"/>
            </w:pPr>
            <w:r>
              <w:t>SOGL 81</w:t>
            </w:r>
          </w:p>
        </w:tc>
      </w:tr>
    </w:tbl>
    <w:p w14:paraId="19A71FCE" w14:textId="77777777" w:rsidR="00593A3A" w:rsidRDefault="00593A3A" w:rsidP="001A5A96">
      <w:pPr>
        <w:pStyle w:val="Overskrift2"/>
      </w:pPr>
      <w:bookmarkStart w:id="36" w:name="_Toc87440014"/>
      <w:r>
        <w:lastRenderedPageBreak/>
        <w:t>Operational Procedures</w:t>
      </w:r>
      <w:bookmarkEnd w:id="36"/>
    </w:p>
    <w:p w14:paraId="48BD1CE0" w14:textId="77777777" w:rsidR="00734835" w:rsidRPr="0048212A" w:rsidRDefault="00734835" w:rsidP="00734835">
      <w:pPr>
        <w:pStyle w:val="Overskrift3"/>
      </w:pPr>
      <w:bookmarkStart w:id="37" w:name="_Ref1568742"/>
      <w:bookmarkStart w:id="38" w:name="_Toc87440015"/>
      <w:r>
        <w:t>Operational Procedure for Adequacy Assessment</w:t>
      </w:r>
      <w:bookmarkEnd w:id="37"/>
      <w:bookmarkEnd w:id="38"/>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044A86" w14:paraId="01CF04E5" w14:textId="77777777" w:rsidTr="006C322B">
        <w:tc>
          <w:tcPr>
            <w:tcW w:w="7370" w:type="dxa"/>
            <w:tcBorders>
              <w:right w:val="single" w:sz="4" w:space="0" w:color="auto"/>
            </w:tcBorders>
          </w:tcPr>
          <w:p w14:paraId="3B7BD949" w14:textId="283AD851" w:rsidR="00044A86" w:rsidRPr="00EB5463" w:rsidRDefault="00734835" w:rsidP="00AA2CF7">
            <w:pPr>
              <w:pStyle w:val="Blocksatz"/>
            </w:pPr>
            <w:r w:rsidRPr="006947BD">
              <w:t xml:space="preserve">The </w:t>
            </w:r>
            <w:r w:rsidR="00B83F00">
              <w:t>TSOs</w:t>
            </w:r>
            <w:r w:rsidR="00B83F00" w:rsidRPr="006947BD">
              <w:t xml:space="preserve"> </w:t>
            </w:r>
            <w:r w:rsidRPr="006947BD">
              <w:t xml:space="preserve">agree that the </w:t>
            </w:r>
            <w:r w:rsidRPr="00BC1676">
              <w:rPr>
                <w:i/>
                <w:iCs/>
              </w:rPr>
              <w:t xml:space="preserve">“Operational Procedure for </w:t>
            </w:r>
            <w:r w:rsidR="00637BF0">
              <w:rPr>
                <w:i/>
                <w:iCs/>
              </w:rPr>
              <w:t>Nordic</w:t>
            </w:r>
            <w:r w:rsidR="00B83F00" w:rsidRPr="00BC1676">
              <w:rPr>
                <w:i/>
                <w:iCs/>
              </w:rPr>
              <w:t xml:space="preserve"> </w:t>
            </w:r>
            <w:r w:rsidRPr="00BC1676">
              <w:rPr>
                <w:i/>
                <w:iCs/>
              </w:rPr>
              <w:t>Adequacy Assessment”</w:t>
            </w:r>
            <w:r w:rsidR="00B83F00">
              <w:t xml:space="preserve">, </w:t>
            </w:r>
            <w:r w:rsidR="00B83F00">
              <w:rPr>
                <w:iCs/>
              </w:rPr>
              <w:t>which is an appendix to this Annex,</w:t>
            </w:r>
            <w:r w:rsidR="00B83F00" w:rsidRPr="006947BD">
              <w:t xml:space="preserve"> </w:t>
            </w:r>
            <w:r w:rsidR="00594642">
              <w:t>is accepted by all TSOs.</w:t>
            </w:r>
          </w:p>
        </w:tc>
        <w:tc>
          <w:tcPr>
            <w:tcW w:w="1701" w:type="dxa"/>
            <w:tcBorders>
              <w:left w:val="single" w:sz="4" w:space="0" w:color="auto"/>
            </w:tcBorders>
          </w:tcPr>
          <w:p w14:paraId="194B88E2" w14:textId="10F80AB8" w:rsidR="00044A86" w:rsidRDefault="00734835" w:rsidP="006C322B">
            <w:pPr>
              <w:pStyle w:val="Blocksatz"/>
            </w:pPr>
            <w:r>
              <w:t>SOGL 81</w:t>
            </w:r>
          </w:p>
        </w:tc>
      </w:tr>
    </w:tbl>
    <w:p w14:paraId="20E29038" w14:textId="77777777" w:rsidR="001A5A96" w:rsidRDefault="001A5A96" w:rsidP="00F31367">
      <w:pPr>
        <w:pStyle w:val="BlocksatzEinzug"/>
        <w:jc w:val="left"/>
      </w:pPr>
    </w:p>
    <w:p w14:paraId="1CB16F97" w14:textId="7E42BC7E" w:rsidR="00104B82" w:rsidRDefault="00104B82" w:rsidP="00104B82">
      <w:pPr>
        <w:pStyle w:val="Overskrift1"/>
      </w:pPr>
      <w:r w:rsidRPr="00104B82">
        <w:t>Ancillary services</w:t>
      </w:r>
      <w:r w:rsidR="00734835">
        <w:t xml:space="preserve"> for R</w:t>
      </w:r>
      <w:r w:rsidR="00BE2A51">
        <w:t xml:space="preserve">eactive </w:t>
      </w:r>
      <w:r w:rsidR="00734835">
        <w:t>P</w:t>
      </w:r>
      <w:r w:rsidR="00BE2A51">
        <w:t>ower</w:t>
      </w:r>
    </w:p>
    <w:p w14:paraId="5E12A528" w14:textId="77777777" w:rsidR="00104B82" w:rsidRDefault="00104B82" w:rsidP="00104B82">
      <w:pPr>
        <w:pStyle w:val="Overskrift2"/>
      </w:pPr>
      <w:bookmarkStart w:id="39" w:name="_Toc87440016"/>
      <w:r>
        <w:t>Objective</w:t>
      </w:r>
      <w:bookmarkEnd w:id="39"/>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104B82" w14:paraId="1D20DBD0" w14:textId="77777777" w:rsidTr="00104B82">
        <w:tc>
          <w:tcPr>
            <w:tcW w:w="7370" w:type="dxa"/>
            <w:tcBorders>
              <w:right w:val="single" w:sz="4" w:space="0" w:color="auto"/>
            </w:tcBorders>
          </w:tcPr>
          <w:p w14:paraId="5ABAF473" w14:textId="77777777" w:rsidR="00734835" w:rsidRDefault="00AA58DF" w:rsidP="00E90782">
            <w:pPr>
              <w:pStyle w:val="Blocksatz"/>
            </w:pPr>
            <w:r>
              <w:t>A</w:t>
            </w:r>
            <w:r w:rsidR="00CE2F61">
              <w:t xml:space="preserve">ncillary </w:t>
            </w:r>
            <w:r w:rsidR="00883028">
              <w:t>s</w:t>
            </w:r>
            <w:r w:rsidR="00CE2F61">
              <w:t xml:space="preserve">ervices </w:t>
            </w:r>
            <w:r w:rsidR="00734835">
              <w:t xml:space="preserve">for </w:t>
            </w:r>
            <w:r>
              <w:t xml:space="preserve">reactive power </w:t>
            </w:r>
            <w:r w:rsidR="00CE2F61">
              <w:t>enable the</w:t>
            </w:r>
            <w:r w:rsidR="00AB55D2">
              <w:t xml:space="preserve"> </w:t>
            </w:r>
            <w:r w:rsidR="00CE2F61">
              <w:t>TSO</w:t>
            </w:r>
            <w:r>
              <w:t>s</w:t>
            </w:r>
            <w:r w:rsidR="00CE2F61">
              <w:t xml:space="preserve"> to operate </w:t>
            </w:r>
            <w:r>
              <w:t xml:space="preserve">the transmission system in </w:t>
            </w:r>
            <w:r w:rsidR="00CE2F61">
              <w:t xml:space="preserve">a secure and reliable </w:t>
            </w:r>
            <w:r>
              <w:t>way</w:t>
            </w:r>
            <w:r w:rsidR="00883028">
              <w:t xml:space="preserve">. </w:t>
            </w:r>
            <w:r w:rsidR="00CE2F61">
              <w:t xml:space="preserve">In managing the </w:t>
            </w:r>
            <w:r w:rsidR="00883028">
              <w:t>t</w:t>
            </w:r>
            <w:r w:rsidR="00CE2F61">
              <w:t xml:space="preserve">ransmission </w:t>
            </w:r>
            <w:r w:rsidR="00883028">
              <w:t>s</w:t>
            </w:r>
            <w:r w:rsidR="00CE2F61">
              <w:t>ystems, the TSOs must be able to deal with unexpected changes of</w:t>
            </w:r>
            <w:r w:rsidR="00AB55D2">
              <w:t xml:space="preserve"> </w:t>
            </w:r>
            <w:r w:rsidR="00CE2F61">
              <w:t xml:space="preserve">generation capacity, </w:t>
            </w:r>
            <w:r w:rsidR="00883028">
              <w:t>i</w:t>
            </w:r>
            <w:r w:rsidR="00CE2F61">
              <w:t>nterconnector flows or system demand. This is accomplished by maintaining a</w:t>
            </w:r>
            <w:r>
              <w:t xml:space="preserve"> sufficient</w:t>
            </w:r>
            <w:r w:rsidR="00AB55D2">
              <w:t xml:space="preserve"> </w:t>
            </w:r>
            <w:r w:rsidR="00CE2F61">
              <w:t xml:space="preserve">level of </w:t>
            </w:r>
            <w:r w:rsidR="00883028">
              <w:t>a</w:t>
            </w:r>
            <w:r w:rsidR="00CE2F61">
              <w:t xml:space="preserve">ctive </w:t>
            </w:r>
            <w:r w:rsidR="00734835">
              <w:t xml:space="preserve">and reactive </w:t>
            </w:r>
            <w:r w:rsidR="00883028">
              <w:t>p</w:t>
            </w:r>
            <w:r w:rsidR="00CE2F61">
              <w:t xml:space="preserve">ower </w:t>
            </w:r>
            <w:r w:rsidR="00883028">
              <w:t>a</w:t>
            </w:r>
            <w:r w:rsidR="00CE2F61">
              <w:t xml:space="preserve">ncillary </w:t>
            </w:r>
            <w:r w:rsidR="00883028">
              <w:t>s</w:t>
            </w:r>
            <w:r w:rsidR="00CE2F61">
              <w:t xml:space="preserve">ervices. </w:t>
            </w:r>
          </w:p>
          <w:p w14:paraId="3A461DC5" w14:textId="77777777" w:rsidR="00734835" w:rsidRDefault="00734835" w:rsidP="00E90782">
            <w:pPr>
              <w:pStyle w:val="Blocksatz"/>
            </w:pPr>
          </w:p>
          <w:p w14:paraId="0C56DD4E" w14:textId="5D21FC48" w:rsidR="00AA58DF" w:rsidRDefault="00734835" w:rsidP="00E90782">
            <w:pPr>
              <w:pStyle w:val="Blocksatz"/>
            </w:pPr>
            <w:r>
              <w:t xml:space="preserve">The </w:t>
            </w:r>
            <w:r w:rsidR="00116AC4">
              <w:t xml:space="preserve">TSOs </w:t>
            </w:r>
            <w:r>
              <w:t xml:space="preserve">agree that </w:t>
            </w:r>
            <w:r w:rsidR="00AA58DF">
              <w:t xml:space="preserve">ancillary services </w:t>
            </w:r>
            <w:r>
              <w:t xml:space="preserve">for active power are covered by </w:t>
            </w:r>
            <w:r w:rsidR="00AA58DF">
              <w:t>Annex LFCR.</w:t>
            </w:r>
          </w:p>
          <w:p w14:paraId="7B74B0C8" w14:textId="77777777" w:rsidR="00AA58DF" w:rsidRDefault="00AA58DF" w:rsidP="00E90782">
            <w:pPr>
              <w:pStyle w:val="Blocksatz"/>
            </w:pPr>
          </w:p>
          <w:p w14:paraId="46AED261" w14:textId="77777777" w:rsidR="00AB55D2" w:rsidRPr="00EB5463" w:rsidRDefault="00AB55D2" w:rsidP="00B10B38">
            <w:pPr>
              <w:pStyle w:val="Blocksatz"/>
            </w:pPr>
            <w:r>
              <w:t xml:space="preserve">For </w:t>
            </w:r>
            <w:r w:rsidR="00E90782">
              <w:t>r</w:t>
            </w:r>
            <w:r>
              <w:t xml:space="preserve">eactive </w:t>
            </w:r>
            <w:r w:rsidR="00E90782">
              <w:t>p</w:t>
            </w:r>
            <w:r>
              <w:t xml:space="preserve">ower, the TSOs must maintain a voltage balance across the </w:t>
            </w:r>
            <w:r w:rsidR="00E90782">
              <w:t>t</w:t>
            </w:r>
            <w:r>
              <w:t xml:space="preserve">ransmission </w:t>
            </w:r>
            <w:r w:rsidR="00E90782">
              <w:t>s</w:t>
            </w:r>
            <w:r>
              <w:t xml:space="preserve">ystems </w:t>
            </w:r>
            <w:proofErr w:type="gramStart"/>
            <w:r>
              <w:t>in order to</w:t>
            </w:r>
            <w:proofErr w:type="gramEnd"/>
            <w:r>
              <w:t xml:space="preserve"> maintain a secure and stable power system and to avoid damage to connected equipment. To maintain the balance, the appropriate level of </w:t>
            </w:r>
            <w:r w:rsidR="00E90782">
              <w:t>r</w:t>
            </w:r>
            <w:r>
              <w:t xml:space="preserve">eactive </w:t>
            </w:r>
            <w:r w:rsidR="00E90782">
              <w:t>p</w:t>
            </w:r>
            <w:r>
              <w:t xml:space="preserve">ower is required at appropriate locations in the </w:t>
            </w:r>
            <w:r w:rsidR="00E90782">
              <w:t>t</w:t>
            </w:r>
            <w:r>
              <w:t xml:space="preserve">ransmission </w:t>
            </w:r>
            <w:r w:rsidR="00E90782">
              <w:t>s</w:t>
            </w:r>
            <w:r>
              <w:t xml:space="preserve">ystem. Generally, </w:t>
            </w:r>
            <w:r w:rsidR="00E90782">
              <w:t>r</w:t>
            </w:r>
            <w:r>
              <w:t xml:space="preserve">eactive </w:t>
            </w:r>
            <w:r w:rsidR="00E90782">
              <w:t>p</w:t>
            </w:r>
            <w:r>
              <w:t xml:space="preserve">ower must be provided close to the location where it is </w:t>
            </w:r>
            <w:r w:rsidR="00AA58DF">
              <w:t>required</w:t>
            </w:r>
            <w:r>
              <w:t xml:space="preserve">. </w:t>
            </w:r>
          </w:p>
        </w:tc>
        <w:tc>
          <w:tcPr>
            <w:tcW w:w="1701" w:type="dxa"/>
            <w:tcBorders>
              <w:left w:val="single" w:sz="4" w:space="0" w:color="auto"/>
            </w:tcBorders>
          </w:tcPr>
          <w:p w14:paraId="3BC9B878" w14:textId="77777777" w:rsidR="00104B82" w:rsidRDefault="00104B82" w:rsidP="00104B82">
            <w:pPr>
              <w:pStyle w:val="Blocksatz"/>
              <w:jc w:val="left"/>
            </w:pPr>
          </w:p>
          <w:p w14:paraId="44B69648" w14:textId="77777777" w:rsidR="00104B82" w:rsidRDefault="00104B82" w:rsidP="00104B82">
            <w:pPr>
              <w:pStyle w:val="Blocksatz"/>
              <w:jc w:val="left"/>
            </w:pPr>
          </w:p>
          <w:p w14:paraId="2BB014F6" w14:textId="77777777" w:rsidR="00104B82" w:rsidRDefault="00104B82" w:rsidP="00104B82">
            <w:pPr>
              <w:pStyle w:val="Blocksatz"/>
            </w:pPr>
          </w:p>
        </w:tc>
      </w:tr>
    </w:tbl>
    <w:p w14:paraId="109D881E" w14:textId="77777777" w:rsidR="00E90782" w:rsidRDefault="00E90782" w:rsidP="005868F3">
      <w:pPr>
        <w:pStyle w:val="Overskrift2"/>
      </w:pPr>
      <w:bookmarkStart w:id="40" w:name="_Toc87440017"/>
      <w:r>
        <w:t>Roles &amp; Responsibilities</w:t>
      </w:r>
      <w:bookmarkEnd w:id="40"/>
    </w:p>
    <w:tbl>
      <w:tblPr>
        <w:tblStyle w:val="Tabellrutenett"/>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1701"/>
      </w:tblGrid>
      <w:tr w:rsidR="00044A86" w14:paraId="4105EF46" w14:textId="77777777" w:rsidTr="006C322B">
        <w:tc>
          <w:tcPr>
            <w:tcW w:w="7370" w:type="dxa"/>
            <w:tcBorders>
              <w:right w:val="single" w:sz="4" w:space="0" w:color="auto"/>
            </w:tcBorders>
          </w:tcPr>
          <w:p w14:paraId="067B9A4E" w14:textId="77777777" w:rsidR="00044A86" w:rsidRPr="00EB5463" w:rsidRDefault="00AA58DF" w:rsidP="00AA58DF">
            <w:pPr>
              <w:pStyle w:val="Blocksatz"/>
            </w:pPr>
            <w:r>
              <w:t>All</w:t>
            </w:r>
            <w:r w:rsidR="00AA2CF7" w:rsidRPr="00AA2CF7">
              <w:t xml:space="preserve"> TSO</w:t>
            </w:r>
            <w:r>
              <w:t>s</w:t>
            </w:r>
            <w:r w:rsidR="00AA2CF7" w:rsidRPr="00AA2CF7">
              <w:t xml:space="preserve"> shall </w:t>
            </w:r>
            <w:r w:rsidR="00AA2CF7">
              <w:t xml:space="preserve">monitor and assess the availability of </w:t>
            </w:r>
            <w:r w:rsidR="00AA2CF7" w:rsidRPr="00AA2CF7">
              <w:t xml:space="preserve">reactive power ancillary services </w:t>
            </w:r>
            <w:proofErr w:type="gramStart"/>
            <w:r w:rsidR="00AA2CF7">
              <w:t xml:space="preserve">in order </w:t>
            </w:r>
            <w:r w:rsidR="00AA2CF7" w:rsidRPr="00AA2CF7">
              <w:t>to</w:t>
            </w:r>
            <w:proofErr w:type="gramEnd"/>
            <w:r w:rsidR="00AA2CF7" w:rsidRPr="00AA2CF7">
              <w:t xml:space="preserve"> maintain the operational security of the transmission system.</w:t>
            </w:r>
          </w:p>
        </w:tc>
        <w:tc>
          <w:tcPr>
            <w:tcW w:w="1701" w:type="dxa"/>
            <w:tcBorders>
              <w:left w:val="single" w:sz="4" w:space="0" w:color="auto"/>
            </w:tcBorders>
          </w:tcPr>
          <w:p w14:paraId="4EDB46AD" w14:textId="26738690" w:rsidR="00AA2CF7" w:rsidRDefault="00040E9C" w:rsidP="006C322B">
            <w:pPr>
              <w:pStyle w:val="Blocksatz"/>
            </w:pPr>
            <w:r>
              <w:t>SOGL</w:t>
            </w:r>
            <w:r w:rsidR="00AA2CF7">
              <w:t xml:space="preserve"> 109(1)</w:t>
            </w:r>
          </w:p>
          <w:p w14:paraId="4D33385C" w14:textId="38FE0992" w:rsidR="00044A86" w:rsidRDefault="00040E9C" w:rsidP="006C322B">
            <w:pPr>
              <w:pStyle w:val="Blocksatz"/>
            </w:pPr>
            <w:r>
              <w:t>SOGL</w:t>
            </w:r>
            <w:r w:rsidR="00AA2CF7">
              <w:t xml:space="preserve"> 109(2)</w:t>
            </w:r>
          </w:p>
        </w:tc>
      </w:tr>
      <w:tr w:rsidR="00AA2CF7" w14:paraId="7F0AF513" w14:textId="77777777" w:rsidTr="006C322B">
        <w:tc>
          <w:tcPr>
            <w:tcW w:w="7370" w:type="dxa"/>
            <w:tcBorders>
              <w:right w:val="single" w:sz="4" w:space="0" w:color="auto"/>
            </w:tcBorders>
          </w:tcPr>
          <w:p w14:paraId="1BB91FB5" w14:textId="77777777" w:rsidR="00AA2CF7" w:rsidRDefault="00AA2CF7" w:rsidP="006C322B">
            <w:pPr>
              <w:pStyle w:val="Blocksatz"/>
            </w:pPr>
          </w:p>
          <w:p w14:paraId="3C8E56AE" w14:textId="77777777" w:rsidR="00AA2CF7" w:rsidRDefault="00AA2CF7" w:rsidP="00AA2CF7">
            <w:pPr>
              <w:pStyle w:val="Blocksatz"/>
            </w:pPr>
            <w:r>
              <w:t>Each TSO shall inform the neighbouring TSOs in case t</w:t>
            </w:r>
            <w:r w:rsidRPr="00AA2CF7">
              <w:t>he level of reactive power ancillary services is not sufficient for maintaining operational security</w:t>
            </w:r>
            <w:r>
              <w:t>.</w:t>
            </w:r>
          </w:p>
          <w:p w14:paraId="0A446789" w14:textId="77777777" w:rsidR="00C81E2F" w:rsidRDefault="00C81E2F" w:rsidP="00AA2CF7">
            <w:pPr>
              <w:pStyle w:val="Blocksatz"/>
            </w:pPr>
          </w:p>
          <w:p w14:paraId="28021CFA" w14:textId="716B9555" w:rsidR="00C81E2F" w:rsidRDefault="00C81E2F" w:rsidP="00AA2CF7">
            <w:pPr>
              <w:pStyle w:val="Blocksatz"/>
            </w:pPr>
            <w:r>
              <w:rPr>
                <w:lang w:val="en-US"/>
              </w:rPr>
              <w:t xml:space="preserve">Within each TSO’s control area, there shall be a reserve of reactive power which is constituted in such a way </w:t>
            </w:r>
            <w:proofErr w:type="gramStart"/>
            <w:r>
              <w:rPr>
                <w:lang w:val="en-US"/>
              </w:rPr>
              <w:t>with regard to</w:t>
            </w:r>
            <w:proofErr w:type="gramEnd"/>
            <w:r>
              <w:rPr>
                <w:lang w:val="en-US"/>
              </w:rPr>
              <w:t xml:space="preserve"> size, regulation capability and localization that dimensioning faults will not entail a system collapse.</w:t>
            </w:r>
          </w:p>
        </w:tc>
        <w:tc>
          <w:tcPr>
            <w:tcW w:w="1701" w:type="dxa"/>
            <w:tcBorders>
              <w:left w:val="single" w:sz="4" w:space="0" w:color="auto"/>
            </w:tcBorders>
          </w:tcPr>
          <w:p w14:paraId="741E5B77" w14:textId="77777777" w:rsidR="00AA2CF7" w:rsidRDefault="00AA2CF7" w:rsidP="006C322B">
            <w:pPr>
              <w:pStyle w:val="Blocksatz"/>
            </w:pPr>
          </w:p>
          <w:p w14:paraId="1D1BC084" w14:textId="77777777" w:rsidR="00AA2CF7" w:rsidRDefault="00040E9C" w:rsidP="006C322B">
            <w:pPr>
              <w:pStyle w:val="Blocksatz"/>
            </w:pPr>
            <w:r>
              <w:t>SOGL</w:t>
            </w:r>
            <w:r w:rsidR="00AA2CF7">
              <w:t xml:space="preserve"> 109(3)</w:t>
            </w:r>
          </w:p>
          <w:p w14:paraId="5F1D637C" w14:textId="77777777" w:rsidR="00C81E2F" w:rsidRDefault="00C81E2F" w:rsidP="006C322B">
            <w:pPr>
              <w:pStyle w:val="Blocksatz"/>
            </w:pPr>
          </w:p>
          <w:p w14:paraId="6102BA00" w14:textId="77777777" w:rsidR="00C81E2F" w:rsidRDefault="00C81E2F" w:rsidP="006C322B">
            <w:pPr>
              <w:pStyle w:val="Blocksatz"/>
            </w:pPr>
          </w:p>
          <w:p w14:paraId="7D21E660" w14:textId="15587DD6" w:rsidR="00C81E2F" w:rsidRDefault="00C81E2F" w:rsidP="006C322B">
            <w:pPr>
              <w:pStyle w:val="Blocksatz"/>
            </w:pPr>
            <w:r>
              <w:t>Appendix 2</w:t>
            </w:r>
            <w:r w:rsidR="0071652C">
              <w:t>,</w:t>
            </w:r>
          </w:p>
          <w:p w14:paraId="4BA7CA5B" w14:textId="7C118CB7" w:rsidR="007A5280" w:rsidRDefault="0071652C" w:rsidP="006C322B">
            <w:pPr>
              <w:pStyle w:val="Blocksatz"/>
            </w:pPr>
            <w:r>
              <w:t>c</w:t>
            </w:r>
            <w:r w:rsidR="007A5280">
              <w:t>hapter 4.4 of previous SOA</w:t>
            </w:r>
          </w:p>
        </w:tc>
      </w:tr>
    </w:tbl>
    <w:p w14:paraId="6268C8F2" w14:textId="77777777" w:rsidR="00B10B38" w:rsidRPr="00044A86" w:rsidRDefault="00B10B38" w:rsidP="00734835">
      <w:pPr>
        <w:pStyle w:val="Blocksatz"/>
        <w:rPr>
          <w:lang w:bidi="ar-QA"/>
        </w:rPr>
      </w:pPr>
    </w:p>
    <w:sectPr w:rsidR="00B10B38" w:rsidRPr="00044A86" w:rsidSect="003C72B7">
      <w:footerReference w:type="default" r:id="rId25"/>
      <w:pgSz w:w="11906" w:h="16838"/>
      <w:pgMar w:top="133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7153" w14:textId="77777777" w:rsidR="003A6013" w:rsidRDefault="003A6013" w:rsidP="00C404FC">
      <w:r>
        <w:separator/>
      </w:r>
    </w:p>
  </w:endnote>
  <w:endnote w:type="continuationSeparator" w:id="0">
    <w:p w14:paraId="6CDC156D" w14:textId="77777777" w:rsidR="003A6013" w:rsidRDefault="003A6013" w:rsidP="00C404FC">
      <w:r>
        <w:continuationSeparator/>
      </w:r>
    </w:p>
  </w:endnote>
  <w:endnote w:type="continuationNotice" w:id="1">
    <w:p w14:paraId="6EB64888" w14:textId="77777777" w:rsidR="003A6013" w:rsidRDefault="003A6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35B1" w14:textId="77777777" w:rsidR="00CE1858" w:rsidRDefault="00CE185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6B3F" w14:textId="77777777" w:rsidR="00637BF0" w:rsidRPr="002823AA" w:rsidRDefault="00637BF0" w:rsidP="00C404FC">
    <w:pPr>
      <w:pStyle w:val="Fusszeile2"/>
    </w:pPr>
    <w:r>
      <w:rPr>
        <w:lang w:val="sv-SE" w:eastAsia="sv-SE"/>
      </w:rPr>
      <mc:AlternateContent>
        <mc:Choice Requires="wps">
          <w:drawing>
            <wp:anchor distT="0" distB="0" distL="114300" distR="114300" simplePos="0" relativeHeight="251658245" behindDoc="0" locked="0" layoutInCell="1" allowOverlap="1" wp14:anchorId="60C81728" wp14:editId="772D52E9">
              <wp:simplePos x="0" y="0"/>
              <wp:positionH relativeFrom="column">
                <wp:posOffset>4898390</wp:posOffset>
              </wp:positionH>
              <wp:positionV relativeFrom="paragraph">
                <wp:posOffset>-249555</wp:posOffset>
              </wp:positionV>
              <wp:extent cx="2204720" cy="817245"/>
              <wp:effectExtent l="2540" t="0" r="2540" b="381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7E013" w14:textId="7DA6C9CB" w:rsidR="00637BF0" w:rsidRPr="00830BAE" w:rsidRDefault="00637BF0" w:rsidP="00C404FC">
                          <w:pPr>
                            <w:pStyle w:val="Blocksatz"/>
                            <w:rPr>
                              <w:rStyle w:val="Sidetall"/>
                              <w:lang w:val="en-US"/>
                            </w:rPr>
                          </w:pPr>
                          <w:r>
                            <w:rPr>
                              <w:rStyle w:val="Sidetall"/>
                              <w:lang w:val="en-US"/>
                            </w:rPr>
                            <w:t>E-BRIDGE</w:t>
                          </w:r>
                          <w:r w:rsidRPr="00830BAE">
                            <w:rPr>
                              <w:rStyle w:val="Sidetall"/>
                              <w:lang w:val="en-US"/>
                            </w:rPr>
                            <w:t xml:space="preserve"> CONSULTING GMBH</w:t>
                          </w:r>
                          <w:r>
                            <w:rPr>
                              <w:rStyle w:val="Sidetall"/>
                              <w:lang w:val="en-US"/>
                            </w:rPr>
                            <w:tab/>
                          </w:r>
                          <w:r>
                            <w:rPr>
                              <w:rStyle w:val="Sidetall"/>
                              <w:lang w:val="en-US"/>
                            </w:rPr>
                            <w:tab/>
                          </w:r>
                          <w:r>
                            <w:rPr>
                              <w:rStyle w:val="Sidetall"/>
                            </w:rPr>
                            <w:fldChar w:fldCharType="begin"/>
                          </w:r>
                          <w:r>
                            <w:rPr>
                              <w:rStyle w:val="Sidetall"/>
                            </w:rPr>
                            <w:instrText xml:space="preserve"> PAGE  \* Arabic  \* MERGEFORMAT </w:instrText>
                          </w:r>
                          <w:r>
                            <w:rPr>
                              <w:rStyle w:val="Sidetall"/>
                            </w:rPr>
                            <w:fldChar w:fldCharType="separate"/>
                          </w:r>
                          <w:r>
                            <w:rPr>
                              <w:rStyle w:val="Sidetall"/>
                              <w:noProof/>
                            </w:rPr>
                            <w:t>6</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81728" id="_x0000_t202" coordsize="21600,21600" o:spt="202" path="m,l,21600r21600,l21600,xe">
              <v:stroke joinstyle="miter"/>
              <v:path gradientshapeok="t" o:connecttype="rect"/>
            </v:shapetype>
            <v:shape id="Text Box 37" o:spid="_x0000_s1027" type="#_x0000_t202" style="position:absolute;left:0;text-align:left;margin-left:385.7pt;margin-top:-19.65pt;width:173.6pt;height:6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" stroked="f">
              <v:textbox>
                <w:txbxContent>
                  <w:p w14:paraId="17B7E013" w14:textId="7DA6C9CB" w:rsidR="00637BF0" w:rsidRPr="00830BAE" w:rsidRDefault="00637BF0" w:rsidP="00C404FC">
                    <w:pPr>
                      <w:pStyle w:val="Blocksatz"/>
                      <w:rPr>
                        <w:rStyle w:val="Sidetall"/>
                        <w:lang w:val="en-US"/>
                      </w:rPr>
                    </w:pPr>
                    <w:r>
                      <w:rPr>
                        <w:rStyle w:val="Sidetall"/>
                        <w:lang w:val="en-US"/>
                      </w:rPr>
                      <w:t>E-BRIDGE</w:t>
                    </w:r>
                    <w:r w:rsidRPr="00830BAE">
                      <w:rPr>
                        <w:rStyle w:val="Sidetall"/>
                        <w:lang w:val="en-US"/>
                      </w:rPr>
                      <w:t xml:space="preserve"> CONSULTING GMBH</w:t>
                    </w:r>
                    <w:r>
                      <w:rPr>
                        <w:rStyle w:val="Sidetall"/>
                        <w:lang w:val="en-US"/>
                      </w:rPr>
                      <w:tab/>
                    </w:r>
                    <w:r>
                      <w:rPr>
                        <w:rStyle w:val="Sidetall"/>
                        <w:lang w:val="en-US"/>
                      </w:rPr>
                      <w:tab/>
                    </w:r>
                    <w:r>
                      <w:rPr>
                        <w:rStyle w:val="Sidetall"/>
                      </w:rPr>
                      <w:fldChar w:fldCharType="begin"/>
                    </w:r>
                    <w:r>
                      <w:rPr>
                        <w:rStyle w:val="Sidetall"/>
                      </w:rPr>
                      <w:instrText xml:space="preserve"> PAGE  \* Arabic  \* MERGEFORMAT </w:instrText>
                    </w:r>
                    <w:r>
                      <w:rPr>
                        <w:rStyle w:val="Sidetall"/>
                      </w:rPr>
                      <w:fldChar w:fldCharType="separate"/>
                    </w:r>
                    <w:r>
                      <w:rPr>
                        <w:rStyle w:val="Sidetall"/>
                        <w:noProof/>
                      </w:rPr>
                      <w:t>6</w:t>
                    </w:r>
                    <w:r>
                      <w:rPr>
                        <w:rStyle w:val="Sidetall"/>
                      </w:rPr>
                      <w:fldChar w:fldCharType="end"/>
                    </w:r>
                  </w:p>
                </w:txbxContent>
              </v:textbox>
              <w10:wrap type="square"/>
            </v:shape>
          </w:pict>
        </mc:Fallback>
      </mc:AlternateContent>
    </w:r>
    <w:r>
      <w:rPr>
        <w:lang w:val="sv-SE" w:eastAsia="sv-SE"/>
      </w:rPr>
      <mc:AlternateContent>
        <mc:Choice Requires="wps">
          <w:drawing>
            <wp:anchor distT="0" distB="0" distL="114300" distR="114300" simplePos="0" relativeHeight="251658243" behindDoc="1" locked="0" layoutInCell="1" allowOverlap="1" wp14:anchorId="20D2BEBD" wp14:editId="4FEC2982">
              <wp:simplePos x="0" y="0"/>
              <wp:positionH relativeFrom="column">
                <wp:posOffset>7158990</wp:posOffset>
              </wp:positionH>
              <wp:positionV relativeFrom="paragraph">
                <wp:posOffset>-48260</wp:posOffset>
              </wp:positionV>
              <wp:extent cx="1485900" cy="638175"/>
              <wp:effectExtent l="5715" t="8890" r="13335" b="1016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4252E85A" w14:textId="77777777" w:rsidR="00637BF0" w:rsidRPr="006A1DCE" w:rsidRDefault="00637BF0" w:rsidP="00C404FC">
                          <w:pPr>
                            <w:pStyle w:val="Bunntekst"/>
                          </w:pPr>
                          <w:r w:rsidRPr="006A1DCE">
                            <w:t xml:space="preserve">E-BRIDGE       </w:t>
                          </w:r>
                        </w:p>
                        <w:p w14:paraId="01A8AAAD" w14:textId="77777777" w:rsidR="00637BF0" w:rsidRPr="006A1DCE" w:rsidRDefault="00637BF0" w:rsidP="00C404FC">
                          <w:pPr>
                            <w:pStyle w:val="Bunntekst"/>
                          </w:pPr>
                          <w:r w:rsidRPr="006A1DCE">
                            <w:t xml:space="preserve">CONSULTING GMBH </w:t>
                          </w:r>
                        </w:p>
                        <w:p w14:paraId="3EA86A7E" w14:textId="77777777" w:rsidR="00637BF0" w:rsidRPr="006A1DCE" w:rsidRDefault="00637BF0" w:rsidP="00C404FC">
                          <w:pPr>
                            <w:pStyle w:val="Blocksatz"/>
                          </w:pPr>
                        </w:p>
                        <w:p w14:paraId="5E0A2DBA" w14:textId="77777777" w:rsidR="00637BF0" w:rsidRPr="006A1DCE" w:rsidRDefault="00637BF0"/>
                        <w:p w14:paraId="47892897" w14:textId="77777777" w:rsidR="00637BF0" w:rsidRPr="006A1DCE" w:rsidRDefault="00637BF0" w:rsidP="00C404FC">
                          <w:pPr>
                            <w:pStyle w:val="Bunntekst"/>
                          </w:pPr>
                          <w:r w:rsidRPr="006A1DCE">
                            <w:t xml:space="preserve">E-BRIDGE       </w:t>
                          </w:r>
                        </w:p>
                        <w:p w14:paraId="73E6F188" w14:textId="77777777" w:rsidR="00637BF0" w:rsidRPr="002823AA" w:rsidRDefault="00637BF0" w:rsidP="00C404FC">
                          <w:pPr>
                            <w:pStyle w:val="Bunntekst"/>
                          </w:pPr>
                          <w:r w:rsidRPr="002823AA">
                            <w:t xml:space="preserve">CONSULTING GMBH </w:t>
                          </w:r>
                        </w:p>
                        <w:p w14:paraId="7DCCF5F3" w14:textId="77777777" w:rsidR="00637BF0" w:rsidRDefault="00637BF0"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BEBD" id="Text Box 7" o:spid="_x0000_s1028" type="#_x0000_t202" style="position:absolute;left:0;text-align:left;margin-left:563.7pt;margin-top:-3.8pt;width:117pt;height:50.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" strokecolor="white [3212]">
              <v:textbox>
                <w:txbxContent>
                  <w:p w14:paraId="4252E85A" w14:textId="77777777" w:rsidR="00637BF0" w:rsidRPr="006A1DCE" w:rsidRDefault="00637BF0" w:rsidP="00C404FC">
                    <w:pPr>
                      <w:pStyle w:val="Bunntekst"/>
                    </w:pPr>
                    <w:r w:rsidRPr="006A1DCE">
                      <w:t xml:space="preserve">E-BRIDGE       </w:t>
                    </w:r>
                  </w:p>
                  <w:p w14:paraId="01A8AAAD" w14:textId="77777777" w:rsidR="00637BF0" w:rsidRPr="006A1DCE" w:rsidRDefault="00637BF0" w:rsidP="00C404FC">
                    <w:pPr>
                      <w:pStyle w:val="Bunntekst"/>
                    </w:pPr>
                    <w:r w:rsidRPr="006A1DCE">
                      <w:t xml:space="preserve">CONSULTING GMBH </w:t>
                    </w:r>
                  </w:p>
                  <w:p w14:paraId="3EA86A7E" w14:textId="77777777" w:rsidR="00637BF0" w:rsidRPr="006A1DCE" w:rsidRDefault="00637BF0" w:rsidP="00C404FC">
                    <w:pPr>
                      <w:pStyle w:val="Blocksatz"/>
                    </w:pPr>
                  </w:p>
                  <w:p w14:paraId="5E0A2DBA" w14:textId="77777777" w:rsidR="00637BF0" w:rsidRPr="006A1DCE" w:rsidRDefault="00637BF0"/>
                  <w:p w14:paraId="47892897" w14:textId="77777777" w:rsidR="00637BF0" w:rsidRPr="006A1DCE" w:rsidRDefault="00637BF0" w:rsidP="00C404FC">
                    <w:pPr>
                      <w:pStyle w:val="Bunntekst"/>
                    </w:pPr>
                    <w:r w:rsidRPr="006A1DCE">
                      <w:t xml:space="preserve">E-BRIDGE       </w:t>
                    </w:r>
                  </w:p>
                  <w:p w14:paraId="73E6F188" w14:textId="77777777" w:rsidR="00637BF0" w:rsidRPr="002823AA" w:rsidRDefault="00637BF0" w:rsidP="00C404FC">
                    <w:pPr>
                      <w:pStyle w:val="Bunntekst"/>
                    </w:pPr>
                    <w:r w:rsidRPr="002823AA">
                      <w:t xml:space="preserve">CONSULTING GMBH </w:t>
                    </w:r>
                  </w:p>
                  <w:p w14:paraId="7DCCF5F3" w14:textId="77777777" w:rsidR="00637BF0" w:rsidRDefault="00637BF0" w:rsidP="00C404FC">
                    <w:pPr>
                      <w:pStyle w:val="Blocksatz"/>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EB62" w14:textId="77777777" w:rsidR="00CE1858" w:rsidRDefault="00CE185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C34B" w14:textId="77777777" w:rsidR="00637BF0" w:rsidRPr="002823AA" w:rsidRDefault="00637BF0" w:rsidP="00C404FC">
    <w:pPr>
      <w:pStyle w:val="Fusszeile2"/>
    </w:pPr>
    <w:r>
      <w:rPr>
        <w:lang w:val="sv-SE" w:eastAsia="sv-SE"/>
      </w:rPr>
      <mc:AlternateContent>
        <mc:Choice Requires="wps">
          <w:drawing>
            <wp:anchor distT="0" distB="0" distL="114300" distR="114300" simplePos="0" relativeHeight="251658242" behindDoc="0" locked="0" layoutInCell="1" allowOverlap="1" wp14:anchorId="00F89FC6" wp14:editId="5D1614EB">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07A97" w14:textId="2B739372" w:rsidR="00637BF0" w:rsidRPr="00830BAE" w:rsidRDefault="00637BF0" w:rsidP="00C404FC">
                          <w:pPr>
                            <w:pStyle w:val="Blocksatz"/>
                            <w:rPr>
                              <w:rStyle w:val="Sidetall"/>
                              <w:lang w:val="en-US"/>
                            </w:rPr>
                          </w:pPr>
                          <w:r>
                            <w:rPr>
                              <w:rStyle w:val="Sidetall"/>
                              <w:lang w:val="en-US"/>
                            </w:rPr>
                            <w:tab/>
                          </w:r>
                          <w:r>
                            <w:rPr>
                              <w:rStyle w:val="Sidetall"/>
                              <w:lang w:val="en-US"/>
                            </w:rPr>
                            <w:tab/>
                          </w:r>
                          <w:r>
                            <w:rPr>
                              <w:rStyle w:val="Sidetall"/>
                            </w:rPr>
                            <w:fldChar w:fldCharType="begin"/>
                          </w:r>
                          <w:r>
                            <w:rPr>
                              <w:rStyle w:val="Sidetall"/>
                            </w:rPr>
                            <w:instrText xml:space="preserve"> PAGE  \* Arabic  \* MERGEFORMAT </w:instrText>
                          </w:r>
                          <w:r>
                            <w:rPr>
                              <w:rStyle w:val="Sidetall"/>
                            </w:rPr>
                            <w:fldChar w:fldCharType="separate"/>
                          </w:r>
                          <w:r w:rsidR="00044085">
                            <w:rPr>
                              <w:rStyle w:val="Sidetall"/>
                              <w:noProof/>
                            </w:rPr>
                            <w:t>6</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FC6" id="_x0000_t202" coordsize="21600,21600" o:spt="202" path="m,l,21600r21600,l21600,xe">
              <v:stroke joinstyle="miter"/>
              <v:path gradientshapeok="t" o:connecttype="rect"/>
            </v:shapetype>
            <v:shape id="_x0000_s1029" type="#_x0000_t202" style="position:absolute;left:0;text-align:left;margin-left:122.3pt;margin-top:0;width:173.5pt;height:64.3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" stroked="f">
              <v:textbox>
                <w:txbxContent>
                  <w:p w14:paraId="31407A97" w14:textId="2B739372" w:rsidR="00637BF0" w:rsidRPr="00830BAE" w:rsidRDefault="00637BF0" w:rsidP="00C404FC">
                    <w:pPr>
                      <w:pStyle w:val="Blocksatz"/>
                      <w:rPr>
                        <w:rStyle w:val="Sidetall"/>
                        <w:lang w:val="en-US"/>
                      </w:rPr>
                    </w:pPr>
                    <w:r>
                      <w:rPr>
                        <w:rStyle w:val="Sidetall"/>
                        <w:lang w:val="en-US"/>
                      </w:rPr>
                      <w:tab/>
                    </w:r>
                    <w:r>
                      <w:rPr>
                        <w:rStyle w:val="Sidetall"/>
                        <w:lang w:val="en-US"/>
                      </w:rPr>
                      <w:tab/>
                    </w:r>
                    <w:r>
                      <w:rPr>
                        <w:rStyle w:val="Sidetall"/>
                      </w:rPr>
                      <w:fldChar w:fldCharType="begin"/>
                    </w:r>
                    <w:r>
                      <w:rPr>
                        <w:rStyle w:val="Sidetall"/>
                      </w:rPr>
                      <w:instrText xml:space="preserve"> PAGE  \* Arabic  \* MERGEFORMAT </w:instrText>
                    </w:r>
                    <w:r>
                      <w:rPr>
                        <w:rStyle w:val="Sidetall"/>
                      </w:rPr>
                      <w:fldChar w:fldCharType="separate"/>
                    </w:r>
                    <w:r w:rsidR="00044085">
                      <w:rPr>
                        <w:rStyle w:val="Sidetall"/>
                        <w:noProof/>
                      </w:rPr>
                      <w:t>6</w:t>
                    </w:r>
                    <w:r>
                      <w:rPr>
                        <w:rStyle w:val="Sidetall"/>
                      </w:rPr>
                      <w:fldChar w:fldCharType="end"/>
                    </w:r>
                  </w:p>
                </w:txbxContent>
              </v:textbox>
              <w10:wrap type="square" anchorx="margin" anchory="margin"/>
            </v:shape>
          </w:pict>
        </mc:Fallback>
      </mc:AlternateContent>
    </w:r>
    <w:r>
      <w:rPr>
        <w:lang w:val="sv-SE" w:eastAsia="sv-SE"/>
      </w:rPr>
      <mc:AlternateContent>
        <mc:Choice Requires="wps">
          <w:drawing>
            <wp:anchor distT="0" distB="0" distL="114300" distR="114300" simplePos="0" relativeHeight="251658241" behindDoc="1" locked="0" layoutInCell="1" allowOverlap="1" wp14:anchorId="332D58BC" wp14:editId="6DB1EFAC">
              <wp:simplePos x="0" y="0"/>
              <wp:positionH relativeFrom="column">
                <wp:posOffset>7158990</wp:posOffset>
              </wp:positionH>
              <wp:positionV relativeFrom="paragraph">
                <wp:posOffset>-48260</wp:posOffset>
              </wp:positionV>
              <wp:extent cx="1485900" cy="638175"/>
              <wp:effectExtent l="5715" t="8890" r="1333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05490C51" w14:textId="77777777" w:rsidR="00637BF0" w:rsidRPr="006A1DCE" w:rsidRDefault="00637BF0" w:rsidP="00C404FC">
                          <w:pPr>
                            <w:pStyle w:val="Bunntekst"/>
                          </w:pPr>
                          <w:r w:rsidRPr="006A1DCE">
                            <w:t xml:space="preserve">E-BRIDGE       </w:t>
                          </w:r>
                        </w:p>
                        <w:p w14:paraId="5E6A2FD4" w14:textId="77777777" w:rsidR="00637BF0" w:rsidRPr="006A1DCE" w:rsidRDefault="00637BF0" w:rsidP="00C404FC">
                          <w:pPr>
                            <w:pStyle w:val="Bunntekst"/>
                          </w:pPr>
                          <w:r w:rsidRPr="006A1DCE">
                            <w:t xml:space="preserve">CONSULTING GMBH </w:t>
                          </w:r>
                        </w:p>
                        <w:p w14:paraId="2AB9BEE5" w14:textId="77777777" w:rsidR="00637BF0" w:rsidRPr="006A1DCE" w:rsidRDefault="00637BF0" w:rsidP="00C404FC">
                          <w:pPr>
                            <w:pStyle w:val="Blocksatz"/>
                          </w:pPr>
                        </w:p>
                        <w:p w14:paraId="32DD19BB" w14:textId="77777777" w:rsidR="00637BF0" w:rsidRPr="006A1DCE" w:rsidRDefault="00637BF0"/>
                        <w:p w14:paraId="6730D9CC" w14:textId="77777777" w:rsidR="00637BF0" w:rsidRPr="006A1DCE" w:rsidRDefault="00637BF0" w:rsidP="00C404FC">
                          <w:pPr>
                            <w:pStyle w:val="Bunntekst"/>
                          </w:pPr>
                          <w:r w:rsidRPr="006A1DCE">
                            <w:t xml:space="preserve">E-BRIDGE       </w:t>
                          </w:r>
                        </w:p>
                        <w:p w14:paraId="58205028" w14:textId="77777777" w:rsidR="00637BF0" w:rsidRPr="002823AA" w:rsidRDefault="00637BF0" w:rsidP="00C404FC">
                          <w:pPr>
                            <w:pStyle w:val="Bunntekst"/>
                          </w:pPr>
                          <w:r w:rsidRPr="002823AA">
                            <w:t xml:space="preserve">CONSULTING GMBH </w:t>
                          </w:r>
                        </w:p>
                        <w:p w14:paraId="6AB001B2" w14:textId="77777777" w:rsidR="00637BF0" w:rsidRDefault="00637BF0"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58BC" id="_x0000_s1030" type="#_x0000_t202" style="position:absolute;left:0;text-align:left;margin-left:563.7pt;margin-top:-3.8pt;width:117pt;height:5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" strokecolor="white [3212]">
              <v:textbox>
                <w:txbxContent>
                  <w:p w14:paraId="05490C51" w14:textId="77777777" w:rsidR="00637BF0" w:rsidRPr="006A1DCE" w:rsidRDefault="00637BF0" w:rsidP="00C404FC">
                    <w:pPr>
                      <w:pStyle w:val="Bunntekst"/>
                    </w:pPr>
                    <w:r w:rsidRPr="006A1DCE">
                      <w:t xml:space="preserve">E-BRIDGE       </w:t>
                    </w:r>
                  </w:p>
                  <w:p w14:paraId="5E6A2FD4" w14:textId="77777777" w:rsidR="00637BF0" w:rsidRPr="006A1DCE" w:rsidRDefault="00637BF0" w:rsidP="00C404FC">
                    <w:pPr>
                      <w:pStyle w:val="Bunntekst"/>
                    </w:pPr>
                    <w:r w:rsidRPr="006A1DCE">
                      <w:t xml:space="preserve">CONSULTING GMBH </w:t>
                    </w:r>
                  </w:p>
                  <w:p w14:paraId="2AB9BEE5" w14:textId="77777777" w:rsidR="00637BF0" w:rsidRPr="006A1DCE" w:rsidRDefault="00637BF0" w:rsidP="00C404FC">
                    <w:pPr>
                      <w:pStyle w:val="Blocksatz"/>
                    </w:pPr>
                  </w:p>
                  <w:p w14:paraId="32DD19BB" w14:textId="77777777" w:rsidR="00637BF0" w:rsidRPr="006A1DCE" w:rsidRDefault="00637BF0"/>
                  <w:p w14:paraId="6730D9CC" w14:textId="77777777" w:rsidR="00637BF0" w:rsidRPr="006A1DCE" w:rsidRDefault="00637BF0" w:rsidP="00C404FC">
                    <w:pPr>
                      <w:pStyle w:val="Bunntekst"/>
                    </w:pPr>
                    <w:r w:rsidRPr="006A1DCE">
                      <w:t xml:space="preserve">E-BRIDGE       </w:t>
                    </w:r>
                  </w:p>
                  <w:p w14:paraId="58205028" w14:textId="77777777" w:rsidR="00637BF0" w:rsidRPr="002823AA" w:rsidRDefault="00637BF0" w:rsidP="00C404FC">
                    <w:pPr>
                      <w:pStyle w:val="Bunntekst"/>
                    </w:pPr>
                    <w:r w:rsidRPr="002823AA">
                      <w:t xml:space="preserve">CONSULTING GMBH </w:t>
                    </w:r>
                  </w:p>
                  <w:p w14:paraId="6AB001B2" w14:textId="77777777" w:rsidR="00637BF0" w:rsidRDefault="00637BF0" w:rsidP="00C404FC">
                    <w:pPr>
                      <w:pStyle w:val="Blocksatz"/>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04D2" w14:textId="77777777" w:rsidR="003A6013" w:rsidRDefault="003A6013" w:rsidP="00C404FC">
      <w:r>
        <w:separator/>
      </w:r>
    </w:p>
  </w:footnote>
  <w:footnote w:type="continuationSeparator" w:id="0">
    <w:p w14:paraId="38B02B24" w14:textId="77777777" w:rsidR="003A6013" w:rsidRDefault="003A6013" w:rsidP="00C404FC">
      <w:r>
        <w:continuationSeparator/>
      </w:r>
    </w:p>
  </w:footnote>
  <w:footnote w:type="continuationNotice" w:id="1">
    <w:p w14:paraId="4E6B62A7" w14:textId="77777777" w:rsidR="003A6013" w:rsidRDefault="003A6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A05D" w14:textId="77777777" w:rsidR="00CE1858" w:rsidRDefault="00CE18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C802" w14:textId="77777777" w:rsidR="00CE1858" w:rsidRDefault="00CE185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2BF0" w14:textId="77777777" w:rsidR="00CE1858" w:rsidRDefault="00CE185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55AC428"/>
    <w:lvl w:ilvl="0">
      <w:start w:val="1"/>
      <w:numFmt w:val="decimal"/>
      <w:pStyle w:val="Nummerertliste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Nummerertliste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Punktliste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Nummerertliste"/>
      <w:lvlText w:val="%1."/>
      <w:lvlJc w:val="left"/>
      <w:pPr>
        <w:tabs>
          <w:tab w:val="num" w:pos="360"/>
        </w:tabs>
        <w:ind w:left="360" w:hanging="360"/>
      </w:pPr>
    </w:lvl>
  </w:abstractNum>
  <w:abstractNum w:abstractNumId="4" w15:restartNumberingAfterBreak="0">
    <w:nsid w:val="0CA8474D"/>
    <w:multiLevelType w:val="hybridMultilevel"/>
    <w:tmpl w:val="2FF2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86043"/>
    <w:multiLevelType w:val="hybridMultilevel"/>
    <w:tmpl w:val="13B2D278"/>
    <w:lvl w:ilvl="0" w:tplc="4A28432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EF42E9"/>
    <w:multiLevelType w:val="hybridMultilevel"/>
    <w:tmpl w:val="BB8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B5F5499"/>
    <w:multiLevelType w:val="hybridMultilevel"/>
    <w:tmpl w:val="836C656E"/>
    <w:lvl w:ilvl="0" w:tplc="2ABAAD1C">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851EA"/>
    <w:multiLevelType w:val="hybridMultilevel"/>
    <w:tmpl w:val="8850D796"/>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1DCF5303"/>
    <w:multiLevelType w:val="multilevel"/>
    <w:tmpl w:val="D27C6A0E"/>
    <w:numStyleLink w:val="GliederungAufzNum"/>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C86FC2"/>
    <w:multiLevelType w:val="hybridMultilevel"/>
    <w:tmpl w:val="29B458E0"/>
    <w:lvl w:ilvl="0" w:tplc="1C205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9" w15:restartNumberingAfterBreak="0">
    <w:nsid w:val="2FB145BD"/>
    <w:multiLevelType w:val="hybridMultilevel"/>
    <w:tmpl w:val="2C88CBF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21"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22" w15:restartNumberingAfterBreak="0">
    <w:nsid w:val="3FE324AD"/>
    <w:multiLevelType w:val="hybridMultilevel"/>
    <w:tmpl w:val="66788B2C"/>
    <w:lvl w:ilvl="0" w:tplc="2ABAAD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4DB0314A"/>
    <w:multiLevelType w:val="hybridMultilevel"/>
    <w:tmpl w:val="239A23B0"/>
    <w:lvl w:ilvl="0" w:tplc="2ABAAD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B6C42"/>
    <w:multiLevelType w:val="multilevel"/>
    <w:tmpl w:val="F910859E"/>
    <w:styleLink w:val="GliederungAufzhlungszeichen"/>
    <w:lvl w:ilvl="0">
      <w:start w:val="1"/>
      <w:numFmt w:val="bullet"/>
      <w:pStyle w:val="Punktliste"/>
      <w:lvlText w:val="■"/>
      <w:lvlJc w:val="left"/>
      <w:pPr>
        <w:ind w:left="360" w:hanging="360"/>
      </w:pPr>
      <w:rPr>
        <w:rFonts w:ascii="Segoe UI" w:hAnsi="Segoe UI" w:hint="default"/>
        <w:color w:val="A4B4C4" w:themeColor="background2" w:themeShade="BF"/>
        <w:sz w:val="22"/>
        <w:szCs w:val="26"/>
      </w:rPr>
    </w:lvl>
    <w:lvl w:ilvl="1">
      <w:start w:val="1"/>
      <w:numFmt w:val="bullet"/>
      <w:pStyle w:val="Punktliste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Punktliste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Punktliste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1EA4769"/>
    <w:multiLevelType w:val="hybridMultilevel"/>
    <w:tmpl w:val="9E582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3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39"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41"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42" w15:restartNumberingAfterBreak="0">
    <w:nsid w:val="7BA07BCE"/>
    <w:multiLevelType w:val="hybridMultilevel"/>
    <w:tmpl w:val="B7EC7B74"/>
    <w:lvl w:ilvl="0" w:tplc="2ABAAD1C">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8"/>
  </w:num>
  <w:num w:numId="3">
    <w:abstractNumId w:val="40"/>
  </w:num>
  <w:num w:numId="4">
    <w:abstractNumId w:val="15"/>
  </w:num>
  <w:num w:numId="5">
    <w:abstractNumId w:val="12"/>
  </w:num>
  <w:num w:numId="6">
    <w:abstractNumId w:val="6"/>
  </w:num>
  <w:num w:numId="7">
    <w:abstractNumId w:val="20"/>
  </w:num>
  <w:num w:numId="8">
    <w:abstractNumId w:val="36"/>
  </w:num>
  <w:num w:numId="9">
    <w:abstractNumId w:val="27"/>
  </w:num>
  <w:num w:numId="10">
    <w:abstractNumId w:val="2"/>
  </w:num>
  <w:num w:numId="11">
    <w:abstractNumId w:val="21"/>
  </w:num>
  <w:num w:numId="12">
    <w:abstractNumId w:val="39"/>
  </w:num>
  <w:num w:numId="13">
    <w:abstractNumId w:val="41"/>
  </w:num>
  <w:num w:numId="14">
    <w:abstractNumId w:val="31"/>
  </w:num>
  <w:num w:numId="15">
    <w:abstractNumId w:val="43"/>
    <w:lvlOverride w:ilvl="0">
      <w:startOverride w:val="1"/>
    </w:lvlOverride>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8"/>
  </w:num>
  <w:num w:numId="22">
    <w:abstractNumId w:val="38"/>
  </w:num>
  <w:num w:numId="23">
    <w:abstractNumId w:val="34"/>
  </w:num>
  <w:num w:numId="24">
    <w:abstractNumId w:val="23"/>
  </w:num>
  <w:num w:numId="25">
    <w:abstractNumId w:val="37"/>
  </w:num>
  <w:num w:numId="26">
    <w:abstractNumId w:val="17"/>
  </w:num>
  <w:num w:numId="27">
    <w:abstractNumId w:val="24"/>
  </w:num>
  <w:num w:numId="28">
    <w:abstractNumId w:val="25"/>
  </w:num>
  <w:num w:numId="29">
    <w:abstractNumId w:val="32"/>
  </w:num>
  <w:num w:numId="30">
    <w:abstractNumId w:val="33"/>
  </w:num>
  <w:num w:numId="31">
    <w:abstractNumId w:val="16"/>
  </w:num>
  <w:num w:numId="32">
    <w:abstractNumId w:val="29"/>
  </w:num>
  <w:num w:numId="33">
    <w:abstractNumId w:val="7"/>
  </w:num>
  <w:num w:numId="34">
    <w:abstractNumId w:val="10"/>
  </w:num>
  <w:num w:numId="35">
    <w:abstractNumId w:val="42"/>
  </w:num>
  <w:num w:numId="36">
    <w:abstractNumId w:val="26"/>
  </w:num>
  <w:num w:numId="37">
    <w:abstractNumId w:val="22"/>
  </w:num>
  <w:num w:numId="38">
    <w:abstractNumId w:val="4"/>
  </w:num>
  <w:num w:numId="39">
    <w:abstractNumId w:val="19"/>
  </w:num>
  <w:num w:numId="40">
    <w:abstractNumId w:val="11"/>
  </w:num>
  <w:num w:numId="41">
    <w:abstractNumId w:val="14"/>
  </w:num>
  <w:num w:numId="42">
    <w:abstractNumId w:val="28"/>
  </w:num>
  <w:num w:numId="43">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284"/>
  <w:drawingGridHorizontalSpacing w:val="110"/>
  <w:displayHorizontalDrawingGridEvery w:val="2"/>
  <w:characterSpacingControl w:val="doNotCompress"/>
  <w:hdrShapeDefaults>
    <o:shapedefaults v:ext="edit" spidmax="6145"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sDA3MTU3NTezsDBU0lEKTi0uzszPAykwqgUANjk32ywAAAA="/>
  </w:docVars>
  <w:rsids>
    <w:rsidRoot w:val="00D27E86"/>
    <w:rsid w:val="0000010A"/>
    <w:rsid w:val="00000AA7"/>
    <w:rsid w:val="00000FE3"/>
    <w:rsid w:val="00001C6B"/>
    <w:rsid w:val="000026E6"/>
    <w:rsid w:val="00003DFB"/>
    <w:rsid w:val="00004865"/>
    <w:rsid w:val="00004F97"/>
    <w:rsid w:val="00005969"/>
    <w:rsid w:val="00007D9F"/>
    <w:rsid w:val="0001009E"/>
    <w:rsid w:val="000100DB"/>
    <w:rsid w:val="00010221"/>
    <w:rsid w:val="00010338"/>
    <w:rsid w:val="00013943"/>
    <w:rsid w:val="00014413"/>
    <w:rsid w:val="0001464F"/>
    <w:rsid w:val="00014AC4"/>
    <w:rsid w:val="00016380"/>
    <w:rsid w:val="00016A45"/>
    <w:rsid w:val="000176BC"/>
    <w:rsid w:val="000200F5"/>
    <w:rsid w:val="000204F8"/>
    <w:rsid w:val="00022099"/>
    <w:rsid w:val="000222CF"/>
    <w:rsid w:val="00024193"/>
    <w:rsid w:val="000255A8"/>
    <w:rsid w:val="00025711"/>
    <w:rsid w:val="00025EB0"/>
    <w:rsid w:val="00026801"/>
    <w:rsid w:val="00026E1F"/>
    <w:rsid w:val="00027008"/>
    <w:rsid w:val="00027BB0"/>
    <w:rsid w:val="0003047E"/>
    <w:rsid w:val="0003064C"/>
    <w:rsid w:val="00030CE3"/>
    <w:rsid w:val="000343CE"/>
    <w:rsid w:val="00034AFB"/>
    <w:rsid w:val="000351FB"/>
    <w:rsid w:val="00035715"/>
    <w:rsid w:val="00035BEE"/>
    <w:rsid w:val="00037514"/>
    <w:rsid w:val="00037799"/>
    <w:rsid w:val="00040E0A"/>
    <w:rsid w:val="00040E9C"/>
    <w:rsid w:val="00041244"/>
    <w:rsid w:val="00041B02"/>
    <w:rsid w:val="00041E7E"/>
    <w:rsid w:val="00042DAA"/>
    <w:rsid w:val="00043B84"/>
    <w:rsid w:val="00043DCA"/>
    <w:rsid w:val="00044085"/>
    <w:rsid w:val="000444A7"/>
    <w:rsid w:val="00044873"/>
    <w:rsid w:val="00044A86"/>
    <w:rsid w:val="00045498"/>
    <w:rsid w:val="00045A9F"/>
    <w:rsid w:val="00045DE6"/>
    <w:rsid w:val="00045E6E"/>
    <w:rsid w:val="00046022"/>
    <w:rsid w:val="000460A0"/>
    <w:rsid w:val="00046304"/>
    <w:rsid w:val="00047CBB"/>
    <w:rsid w:val="00050709"/>
    <w:rsid w:val="00050CEB"/>
    <w:rsid w:val="00051C1B"/>
    <w:rsid w:val="00051D1E"/>
    <w:rsid w:val="000523FC"/>
    <w:rsid w:val="000527C9"/>
    <w:rsid w:val="00052B42"/>
    <w:rsid w:val="00053066"/>
    <w:rsid w:val="000534CA"/>
    <w:rsid w:val="000535EB"/>
    <w:rsid w:val="0005405B"/>
    <w:rsid w:val="00054951"/>
    <w:rsid w:val="0005568E"/>
    <w:rsid w:val="000561DB"/>
    <w:rsid w:val="0005628F"/>
    <w:rsid w:val="0005704E"/>
    <w:rsid w:val="00057D77"/>
    <w:rsid w:val="00060833"/>
    <w:rsid w:val="000608A1"/>
    <w:rsid w:val="00060C7A"/>
    <w:rsid w:val="000610E5"/>
    <w:rsid w:val="00061A04"/>
    <w:rsid w:val="0006279C"/>
    <w:rsid w:val="000627AE"/>
    <w:rsid w:val="000627E5"/>
    <w:rsid w:val="00063054"/>
    <w:rsid w:val="00063658"/>
    <w:rsid w:val="000637BC"/>
    <w:rsid w:val="00063B0E"/>
    <w:rsid w:val="00063DCA"/>
    <w:rsid w:val="0006409D"/>
    <w:rsid w:val="00065178"/>
    <w:rsid w:val="0006524F"/>
    <w:rsid w:val="0006527C"/>
    <w:rsid w:val="00066826"/>
    <w:rsid w:val="00066C07"/>
    <w:rsid w:val="000676CE"/>
    <w:rsid w:val="000705A7"/>
    <w:rsid w:val="00071AC5"/>
    <w:rsid w:val="00072570"/>
    <w:rsid w:val="00073163"/>
    <w:rsid w:val="0007369F"/>
    <w:rsid w:val="000744FF"/>
    <w:rsid w:val="00074C26"/>
    <w:rsid w:val="00075119"/>
    <w:rsid w:val="00076291"/>
    <w:rsid w:val="00077F2B"/>
    <w:rsid w:val="0008059F"/>
    <w:rsid w:val="00080A1F"/>
    <w:rsid w:val="00080A6C"/>
    <w:rsid w:val="0008131A"/>
    <w:rsid w:val="000814B9"/>
    <w:rsid w:val="00082014"/>
    <w:rsid w:val="00082C7F"/>
    <w:rsid w:val="00082D3C"/>
    <w:rsid w:val="00083F64"/>
    <w:rsid w:val="00086018"/>
    <w:rsid w:val="00086FF1"/>
    <w:rsid w:val="00087054"/>
    <w:rsid w:val="00087E6B"/>
    <w:rsid w:val="00087F2E"/>
    <w:rsid w:val="00090379"/>
    <w:rsid w:val="000906E6"/>
    <w:rsid w:val="00091A77"/>
    <w:rsid w:val="00091C60"/>
    <w:rsid w:val="000920B7"/>
    <w:rsid w:val="000931FA"/>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409C"/>
    <w:rsid w:val="000A4970"/>
    <w:rsid w:val="000A4B8C"/>
    <w:rsid w:val="000A50CA"/>
    <w:rsid w:val="000A5360"/>
    <w:rsid w:val="000A55C2"/>
    <w:rsid w:val="000A689E"/>
    <w:rsid w:val="000A6AD2"/>
    <w:rsid w:val="000A73EE"/>
    <w:rsid w:val="000A7EED"/>
    <w:rsid w:val="000B04B0"/>
    <w:rsid w:val="000B07A4"/>
    <w:rsid w:val="000B18BD"/>
    <w:rsid w:val="000B1980"/>
    <w:rsid w:val="000B1DB5"/>
    <w:rsid w:val="000B32CE"/>
    <w:rsid w:val="000B3373"/>
    <w:rsid w:val="000B4986"/>
    <w:rsid w:val="000B5A08"/>
    <w:rsid w:val="000B6DEC"/>
    <w:rsid w:val="000B776D"/>
    <w:rsid w:val="000B7989"/>
    <w:rsid w:val="000B7BB6"/>
    <w:rsid w:val="000C021A"/>
    <w:rsid w:val="000C04CD"/>
    <w:rsid w:val="000C260B"/>
    <w:rsid w:val="000C399C"/>
    <w:rsid w:val="000C4424"/>
    <w:rsid w:val="000C5878"/>
    <w:rsid w:val="000C7E72"/>
    <w:rsid w:val="000D0A48"/>
    <w:rsid w:val="000D11FA"/>
    <w:rsid w:val="000D1482"/>
    <w:rsid w:val="000D16B7"/>
    <w:rsid w:val="000D1C4F"/>
    <w:rsid w:val="000D22F1"/>
    <w:rsid w:val="000D3110"/>
    <w:rsid w:val="000D3B14"/>
    <w:rsid w:val="000D3F04"/>
    <w:rsid w:val="000D47D3"/>
    <w:rsid w:val="000D47F2"/>
    <w:rsid w:val="000D4CCA"/>
    <w:rsid w:val="000D59C4"/>
    <w:rsid w:val="000D5C1F"/>
    <w:rsid w:val="000D688C"/>
    <w:rsid w:val="000D765F"/>
    <w:rsid w:val="000D7BAA"/>
    <w:rsid w:val="000D7F2E"/>
    <w:rsid w:val="000E05B5"/>
    <w:rsid w:val="000E07FA"/>
    <w:rsid w:val="000E0FCD"/>
    <w:rsid w:val="000E1452"/>
    <w:rsid w:val="000E1853"/>
    <w:rsid w:val="000E4234"/>
    <w:rsid w:val="000E492B"/>
    <w:rsid w:val="000E4C36"/>
    <w:rsid w:val="000E5117"/>
    <w:rsid w:val="000E5AFB"/>
    <w:rsid w:val="000E6B1A"/>
    <w:rsid w:val="000F1DE3"/>
    <w:rsid w:val="000F2F87"/>
    <w:rsid w:val="000F3986"/>
    <w:rsid w:val="000F47FB"/>
    <w:rsid w:val="000F4D07"/>
    <w:rsid w:val="000F67D1"/>
    <w:rsid w:val="000F6BAF"/>
    <w:rsid w:val="000F6C2C"/>
    <w:rsid w:val="000F7324"/>
    <w:rsid w:val="00100114"/>
    <w:rsid w:val="00100F00"/>
    <w:rsid w:val="00100F79"/>
    <w:rsid w:val="0010170D"/>
    <w:rsid w:val="00102A2F"/>
    <w:rsid w:val="0010459C"/>
    <w:rsid w:val="00104817"/>
    <w:rsid w:val="00104B82"/>
    <w:rsid w:val="00104DA3"/>
    <w:rsid w:val="00105389"/>
    <w:rsid w:val="00106483"/>
    <w:rsid w:val="00106973"/>
    <w:rsid w:val="00106B43"/>
    <w:rsid w:val="0010720D"/>
    <w:rsid w:val="00110161"/>
    <w:rsid w:val="00111291"/>
    <w:rsid w:val="001114B0"/>
    <w:rsid w:val="0011150C"/>
    <w:rsid w:val="00111521"/>
    <w:rsid w:val="001117EE"/>
    <w:rsid w:val="00111A86"/>
    <w:rsid w:val="0011353C"/>
    <w:rsid w:val="0011398D"/>
    <w:rsid w:val="00113B38"/>
    <w:rsid w:val="00115C46"/>
    <w:rsid w:val="00115D0D"/>
    <w:rsid w:val="001163F4"/>
    <w:rsid w:val="001165C2"/>
    <w:rsid w:val="00116AC4"/>
    <w:rsid w:val="00121713"/>
    <w:rsid w:val="00121995"/>
    <w:rsid w:val="00121EA6"/>
    <w:rsid w:val="00122428"/>
    <w:rsid w:val="00122984"/>
    <w:rsid w:val="00122F3F"/>
    <w:rsid w:val="00123856"/>
    <w:rsid w:val="00124C6F"/>
    <w:rsid w:val="00124E27"/>
    <w:rsid w:val="00124E84"/>
    <w:rsid w:val="001270A3"/>
    <w:rsid w:val="001270FF"/>
    <w:rsid w:val="001273CD"/>
    <w:rsid w:val="0013009E"/>
    <w:rsid w:val="001312C0"/>
    <w:rsid w:val="00131F72"/>
    <w:rsid w:val="00132A1C"/>
    <w:rsid w:val="001335F0"/>
    <w:rsid w:val="001335F5"/>
    <w:rsid w:val="00134A72"/>
    <w:rsid w:val="00135DB3"/>
    <w:rsid w:val="001362E2"/>
    <w:rsid w:val="00136CB2"/>
    <w:rsid w:val="00140057"/>
    <w:rsid w:val="00140C47"/>
    <w:rsid w:val="001413F8"/>
    <w:rsid w:val="00141953"/>
    <w:rsid w:val="00142165"/>
    <w:rsid w:val="001444B0"/>
    <w:rsid w:val="00146D9A"/>
    <w:rsid w:val="00150301"/>
    <w:rsid w:val="00150303"/>
    <w:rsid w:val="00150652"/>
    <w:rsid w:val="00151330"/>
    <w:rsid w:val="001516E9"/>
    <w:rsid w:val="001526C9"/>
    <w:rsid w:val="00155C33"/>
    <w:rsid w:val="00155C68"/>
    <w:rsid w:val="00156278"/>
    <w:rsid w:val="001579B7"/>
    <w:rsid w:val="0016010F"/>
    <w:rsid w:val="00161311"/>
    <w:rsid w:val="00161510"/>
    <w:rsid w:val="00161D09"/>
    <w:rsid w:val="0016210C"/>
    <w:rsid w:val="00162938"/>
    <w:rsid w:val="00163107"/>
    <w:rsid w:val="00163BFA"/>
    <w:rsid w:val="00163CB1"/>
    <w:rsid w:val="00163E36"/>
    <w:rsid w:val="0016426F"/>
    <w:rsid w:val="0016446B"/>
    <w:rsid w:val="00164E6C"/>
    <w:rsid w:val="0016531F"/>
    <w:rsid w:val="001654C6"/>
    <w:rsid w:val="0016625F"/>
    <w:rsid w:val="00166C0E"/>
    <w:rsid w:val="00166C19"/>
    <w:rsid w:val="00167128"/>
    <w:rsid w:val="00167599"/>
    <w:rsid w:val="00170131"/>
    <w:rsid w:val="001708A6"/>
    <w:rsid w:val="001732F6"/>
    <w:rsid w:val="001743AE"/>
    <w:rsid w:val="0017441E"/>
    <w:rsid w:val="00175B32"/>
    <w:rsid w:val="00175B68"/>
    <w:rsid w:val="001769A8"/>
    <w:rsid w:val="00176C8D"/>
    <w:rsid w:val="00176FEB"/>
    <w:rsid w:val="0017769E"/>
    <w:rsid w:val="001778AE"/>
    <w:rsid w:val="00181E1D"/>
    <w:rsid w:val="00182321"/>
    <w:rsid w:val="00182488"/>
    <w:rsid w:val="0018253F"/>
    <w:rsid w:val="00182C37"/>
    <w:rsid w:val="00182E66"/>
    <w:rsid w:val="00183C82"/>
    <w:rsid w:val="001852FB"/>
    <w:rsid w:val="00185A65"/>
    <w:rsid w:val="00185E74"/>
    <w:rsid w:val="001865F5"/>
    <w:rsid w:val="00186CF5"/>
    <w:rsid w:val="001905CF"/>
    <w:rsid w:val="00190A24"/>
    <w:rsid w:val="00190EA5"/>
    <w:rsid w:val="00192734"/>
    <w:rsid w:val="00192776"/>
    <w:rsid w:val="00193157"/>
    <w:rsid w:val="0019377B"/>
    <w:rsid w:val="0019443B"/>
    <w:rsid w:val="001944B8"/>
    <w:rsid w:val="0019484F"/>
    <w:rsid w:val="001948AB"/>
    <w:rsid w:val="00194B7B"/>
    <w:rsid w:val="00196CC5"/>
    <w:rsid w:val="00196FC4"/>
    <w:rsid w:val="001A0482"/>
    <w:rsid w:val="001A18EF"/>
    <w:rsid w:val="001A19CF"/>
    <w:rsid w:val="001A2670"/>
    <w:rsid w:val="001A26F3"/>
    <w:rsid w:val="001A2F8B"/>
    <w:rsid w:val="001A43C6"/>
    <w:rsid w:val="001A4EDE"/>
    <w:rsid w:val="001A5831"/>
    <w:rsid w:val="001A5A96"/>
    <w:rsid w:val="001A5BDD"/>
    <w:rsid w:val="001A5CBC"/>
    <w:rsid w:val="001A5EAC"/>
    <w:rsid w:val="001B0266"/>
    <w:rsid w:val="001B0A46"/>
    <w:rsid w:val="001B1319"/>
    <w:rsid w:val="001B1ABE"/>
    <w:rsid w:val="001B23A9"/>
    <w:rsid w:val="001B26AC"/>
    <w:rsid w:val="001B3EE3"/>
    <w:rsid w:val="001B3EFE"/>
    <w:rsid w:val="001B41FA"/>
    <w:rsid w:val="001B5466"/>
    <w:rsid w:val="001B5559"/>
    <w:rsid w:val="001B596B"/>
    <w:rsid w:val="001B748B"/>
    <w:rsid w:val="001B74D1"/>
    <w:rsid w:val="001B7ADA"/>
    <w:rsid w:val="001C07FE"/>
    <w:rsid w:val="001C1341"/>
    <w:rsid w:val="001C13EB"/>
    <w:rsid w:val="001C1509"/>
    <w:rsid w:val="001C2648"/>
    <w:rsid w:val="001C3102"/>
    <w:rsid w:val="001C32DF"/>
    <w:rsid w:val="001C34AE"/>
    <w:rsid w:val="001C52CE"/>
    <w:rsid w:val="001C584F"/>
    <w:rsid w:val="001C5B90"/>
    <w:rsid w:val="001C6A74"/>
    <w:rsid w:val="001C6AAF"/>
    <w:rsid w:val="001C74DB"/>
    <w:rsid w:val="001C771C"/>
    <w:rsid w:val="001C7E00"/>
    <w:rsid w:val="001D042F"/>
    <w:rsid w:val="001D18E1"/>
    <w:rsid w:val="001D1D89"/>
    <w:rsid w:val="001D2587"/>
    <w:rsid w:val="001D2B83"/>
    <w:rsid w:val="001D3C4D"/>
    <w:rsid w:val="001D407E"/>
    <w:rsid w:val="001D5256"/>
    <w:rsid w:val="001D56E1"/>
    <w:rsid w:val="001D582B"/>
    <w:rsid w:val="001D59D4"/>
    <w:rsid w:val="001D5A54"/>
    <w:rsid w:val="001D6D73"/>
    <w:rsid w:val="001D79BC"/>
    <w:rsid w:val="001D79E5"/>
    <w:rsid w:val="001E01FB"/>
    <w:rsid w:val="001E0768"/>
    <w:rsid w:val="001E101A"/>
    <w:rsid w:val="001E16A5"/>
    <w:rsid w:val="001E33F5"/>
    <w:rsid w:val="001E3932"/>
    <w:rsid w:val="001E41E1"/>
    <w:rsid w:val="001E4270"/>
    <w:rsid w:val="001E4B00"/>
    <w:rsid w:val="001E4B86"/>
    <w:rsid w:val="001E4E99"/>
    <w:rsid w:val="001E506E"/>
    <w:rsid w:val="001E6126"/>
    <w:rsid w:val="001E64B5"/>
    <w:rsid w:val="001E707F"/>
    <w:rsid w:val="001E78EE"/>
    <w:rsid w:val="001E7C30"/>
    <w:rsid w:val="001E7CA6"/>
    <w:rsid w:val="001F047F"/>
    <w:rsid w:val="001F0AAA"/>
    <w:rsid w:val="001F0EE5"/>
    <w:rsid w:val="001F1A75"/>
    <w:rsid w:val="001F324D"/>
    <w:rsid w:val="001F3875"/>
    <w:rsid w:val="001F42F4"/>
    <w:rsid w:val="001F4D1B"/>
    <w:rsid w:val="001F50EC"/>
    <w:rsid w:val="001F589F"/>
    <w:rsid w:val="001F60B3"/>
    <w:rsid w:val="001F658E"/>
    <w:rsid w:val="001F66B0"/>
    <w:rsid w:val="001F7E8C"/>
    <w:rsid w:val="002000C2"/>
    <w:rsid w:val="00201135"/>
    <w:rsid w:val="002018F9"/>
    <w:rsid w:val="00201E60"/>
    <w:rsid w:val="0020423D"/>
    <w:rsid w:val="00204CEE"/>
    <w:rsid w:val="00205290"/>
    <w:rsid w:val="00207240"/>
    <w:rsid w:val="002073D7"/>
    <w:rsid w:val="00207505"/>
    <w:rsid w:val="00207584"/>
    <w:rsid w:val="00207C06"/>
    <w:rsid w:val="002111A6"/>
    <w:rsid w:val="0021150F"/>
    <w:rsid w:val="002124EA"/>
    <w:rsid w:val="00212A9E"/>
    <w:rsid w:val="00213AA1"/>
    <w:rsid w:val="00213DC1"/>
    <w:rsid w:val="00213E04"/>
    <w:rsid w:val="00214AA9"/>
    <w:rsid w:val="0021562C"/>
    <w:rsid w:val="00215F4F"/>
    <w:rsid w:val="00215FE7"/>
    <w:rsid w:val="0021641C"/>
    <w:rsid w:val="0021671E"/>
    <w:rsid w:val="00217835"/>
    <w:rsid w:val="002204E4"/>
    <w:rsid w:val="00221706"/>
    <w:rsid w:val="002220EB"/>
    <w:rsid w:val="00222971"/>
    <w:rsid w:val="00222BDD"/>
    <w:rsid w:val="0022324B"/>
    <w:rsid w:val="00223530"/>
    <w:rsid w:val="002235E1"/>
    <w:rsid w:val="00223DF3"/>
    <w:rsid w:val="00224A20"/>
    <w:rsid w:val="0022563E"/>
    <w:rsid w:val="002257F9"/>
    <w:rsid w:val="00226673"/>
    <w:rsid w:val="002267D5"/>
    <w:rsid w:val="00227852"/>
    <w:rsid w:val="00227B8E"/>
    <w:rsid w:val="00230107"/>
    <w:rsid w:val="002301FA"/>
    <w:rsid w:val="00230842"/>
    <w:rsid w:val="002311C3"/>
    <w:rsid w:val="002313F8"/>
    <w:rsid w:val="00232263"/>
    <w:rsid w:val="00232BB0"/>
    <w:rsid w:val="00232C9A"/>
    <w:rsid w:val="00232D71"/>
    <w:rsid w:val="002337EF"/>
    <w:rsid w:val="00233D4E"/>
    <w:rsid w:val="002356C1"/>
    <w:rsid w:val="00235731"/>
    <w:rsid w:val="002368D2"/>
    <w:rsid w:val="00237040"/>
    <w:rsid w:val="00241D5F"/>
    <w:rsid w:val="00242A7F"/>
    <w:rsid w:val="00242D73"/>
    <w:rsid w:val="00243AE8"/>
    <w:rsid w:val="00243F86"/>
    <w:rsid w:val="00244324"/>
    <w:rsid w:val="00244C28"/>
    <w:rsid w:val="002450B8"/>
    <w:rsid w:val="00245BF9"/>
    <w:rsid w:val="00246B31"/>
    <w:rsid w:val="00250B05"/>
    <w:rsid w:val="00250B60"/>
    <w:rsid w:val="0025109C"/>
    <w:rsid w:val="0025189A"/>
    <w:rsid w:val="00251D80"/>
    <w:rsid w:val="002527BE"/>
    <w:rsid w:val="002529C9"/>
    <w:rsid w:val="002538E3"/>
    <w:rsid w:val="00254134"/>
    <w:rsid w:val="002547DC"/>
    <w:rsid w:val="00254F60"/>
    <w:rsid w:val="002551E4"/>
    <w:rsid w:val="00255C87"/>
    <w:rsid w:val="00255F04"/>
    <w:rsid w:val="002566AB"/>
    <w:rsid w:val="0025724A"/>
    <w:rsid w:val="00257549"/>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F56"/>
    <w:rsid w:val="002710F2"/>
    <w:rsid w:val="00271F9C"/>
    <w:rsid w:val="00272BBA"/>
    <w:rsid w:val="00274105"/>
    <w:rsid w:val="0027426F"/>
    <w:rsid w:val="0027485A"/>
    <w:rsid w:val="0027499D"/>
    <w:rsid w:val="002749DA"/>
    <w:rsid w:val="00275936"/>
    <w:rsid w:val="002762AD"/>
    <w:rsid w:val="00276553"/>
    <w:rsid w:val="0027671F"/>
    <w:rsid w:val="00276744"/>
    <w:rsid w:val="00276D95"/>
    <w:rsid w:val="002778D6"/>
    <w:rsid w:val="00277AC4"/>
    <w:rsid w:val="00281D78"/>
    <w:rsid w:val="002823AA"/>
    <w:rsid w:val="00283080"/>
    <w:rsid w:val="00283871"/>
    <w:rsid w:val="002838A8"/>
    <w:rsid w:val="00283A02"/>
    <w:rsid w:val="00283A6B"/>
    <w:rsid w:val="00285152"/>
    <w:rsid w:val="00285398"/>
    <w:rsid w:val="0028768C"/>
    <w:rsid w:val="00287B05"/>
    <w:rsid w:val="00287F94"/>
    <w:rsid w:val="00290866"/>
    <w:rsid w:val="00290C19"/>
    <w:rsid w:val="002910A1"/>
    <w:rsid w:val="00291890"/>
    <w:rsid w:val="00292B66"/>
    <w:rsid w:val="00294393"/>
    <w:rsid w:val="002949C5"/>
    <w:rsid w:val="00294B52"/>
    <w:rsid w:val="00295ADA"/>
    <w:rsid w:val="00296253"/>
    <w:rsid w:val="0029638A"/>
    <w:rsid w:val="002963DF"/>
    <w:rsid w:val="002963EA"/>
    <w:rsid w:val="00296FEB"/>
    <w:rsid w:val="0029700E"/>
    <w:rsid w:val="00297AB9"/>
    <w:rsid w:val="002A05A8"/>
    <w:rsid w:val="002A0D55"/>
    <w:rsid w:val="002A0FB6"/>
    <w:rsid w:val="002A1807"/>
    <w:rsid w:val="002A188E"/>
    <w:rsid w:val="002A1B97"/>
    <w:rsid w:val="002A20B4"/>
    <w:rsid w:val="002A27A9"/>
    <w:rsid w:val="002A335F"/>
    <w:rsid w:val="002A4FC1"/>
    <w:rsid w:val="002A55B2"/>
    <w:rsid w:val="002A5867"/>
    <w:rsid w:val="002A6510"/>
    <w:rsid w:val="002A6BBF"/>
    <w:rsid w:val="002A7A42"/>
    <w:rsid w:val="002A7C1D"/>
    <w:rsid w:val="002B1B9F"/>
    <w:rsid w:val="002B2D23"/>
    <w:rsid w:val="002B4594"/>
    <w:rsid w:val="002B4693"/>
    <w:rsid w:val="002B4DCC"/>
    <w:rsid w:val="002B5709"/>
    <w:rsid w:val="002B570E"/>
    <w:rsid w:val="002B57BF"/>
    <w:rsid w:val="002B5C16"/>
    <w:rsid w:val="002B67B6"/>
    <w:rsid w:val="002B6E57"/>
    <w:rsid w:val="002C04A7"/>
    <w:rsid w:val="002C0B57"/>
    <w:rsid w:val="002C0D69"/>
    <w:rsid w:val="002C215D"/>
    <w:rsid w:val="002C23FF"/>
    <w:rsid w:val="002C2762"/>
    <w:rsid w:val="002C2B63"/>
    <w:rsid w:val="002C3188"/>
    <w:rsid w:val="002C31A9"/>
    <w:rsid w:val="002C3F48"/>
    <w:rsid w:val="002C4748"/>
    <w:rsid w:val="002C4A76"/>
    <w:rsid w:val="002C5477"/>
    <w:rsid w:val="002C5CC8"/>
    <w:rsid w:val="002C5DF0"/>
    <w:rsid w:val="002C6F59"/>
    <w:rsid w:val="002C71D0"/>
    <w:rsid w:val="002C7885"/>
    <w:rsid w:val="002D01D9"/>
    <w:rsid w:val="002D079F"/>
    <w:rsid w:val="002D089D"/>
    <w:rsid w:val="002D2431"/>
    <w:rsid w:val="002D388D"/>
    <w:rsid w:val="002D4873"/>
    <w:rsid w:val="002D4C17"/>
    <w:rsid w:val="002D4E84"/>
    <w:rsid w:val="002D55AB"/>
    <w:rsid w:val="002D6E69"/>
    <w:rsid w:val="002E0C53"/>
    <w:rsid w:val="002E0EEE"/>
    <w:rsid w:val="002E122D"/>
    <w:rsid w:val="002E2CD6"/>
    <w:rsid w:val="002E31E1"/>
    <w:rsid w:val="002E3A70"/>
    <w:rsid w:val="002E41A3"/>
    <w:rsid w:val="002E55C9"/>
    <w:rsid w:val="002E5C3B"/>
    <w:rsid w:val="002E5E4F"/>
    <w:rsid w:val="002E66AE"/>
    <w:rsid w:val="002E7774"/>
    <w:rsid w:val="002E7C0B"/>
    <w:rsid w:val="002F0484"/>
    <w:rsid w:val="002F06DD"/>
    <w:rsid w:val="002F0FB6"/>
    <w:rsid w:val="002F1CD8"/>
    <w:rsid w:val="002F1FBD"/>
    <w:rsid w:val="002F2456"/>
    <w:rsid w:val="002F2E08"/>
    <w:rsid w:val="002F3916"/>
    <w:rsid w:val="002F4482"/>
    <w:rsid w:val="002F4EA6"/>
    <w:rsid w:val="002F52F0"/>
    <w:rsid w:val="002F686A"/>
    <w:rsid w:val="002F6F73"/>
    <w:rsid w:val="002F700F"/>
    <w:rsid w:val="0030111A"/>
    <w:rsid w:val="00301679"/>
    <w:rsid w:val="00301B98"/>
    <w:rsid w:val="00301C36"/>
    <w:rsid w:val="003037D8"/>
    <w:rsid w:val="00304890"/>
    <w:rsid w:val="00304A13"/>
    <w:rsid w:val="003070C6"/>
    <w:rsid w:val="00307522"/>
    <w:rsid w:val="00307A56"/>
    <w:rsid w:val="003103E0"/>
    <w:rsid w:val="0031066D"/>
    <w:rsid w:val="003113FE"/>
    <w:rsid w:val="003133D4"/>
    <w:rsid w:val="003134C0"/>
    <w:rsid w:val="0031451F"/>
    <w:rsid w:val="00316071"/>
    <w:rsid w:val="00316171"/>
    <w:rsid w:val="003163B8"/>
    <w:rsid w:val="00316BDC"/>
    <w:rsid w:val="003173A1"/>
    <w:rsid w:val="003174CC"/>
    <w:rsid w:val="00317F9C"/>
    <w:rsid w:val="00320F3D"/>
    <w:rsid w:val="00321F58"/>
    <w:rsid w:val="00321F6D"/>
    <w:rsid w:val="00322DC4"/>
    <w:rsid w:val="00323333"/>
    <w:rsid w:val="00326470"/>
    <w:rsid w:val="0032680B"/>
    <w:rsid w:val="00327A0A"/>
    <w:rsid w:val="00330726"/>
    <w:rsid w:val="00331743"/>
    <w:rsid w:val="00331A95"/>
    <w:rsid w:val="0033214B"/>
    <w:rsid w:val="00332799"/>
    <w:rsid w:val="003329D4"/>
    <w:rsid w:val="00334333"/>
    <w:rsid w:val="003344DF"/>
    <w:rsid w:val="003345FD"/>
    <w:rsid w:val="00334F3F"/>
    <w:rsid w:val="00335467"/>
    <w:rsid w:val="00335DAE"/>
    <w:rsid w:val="00335E2F"/>
    <w:rsid w:val="00336A15"/>
    <w:rsid w:val="00336A25"/>
    <w:rsid w:val="0033781B"/>
    <w:rsid w:val="003409D7"/>
    <w:rsid w:val="00341365"/>
    <w:rsid w:val="003413BE"/>
    <w:rsid w:val="00341CED"/>
    <w:rsid w:val="00341E7D"/>
    <w:rsid w:val="00342791"/>
    <w:rsid w:val="00342B00"/>
    <w:rsid w:val="00343033"/>
    <w:rsid w:val="00343BE1"/>
    <w:rsid w:val="00343EAD"/>
    <w:rsid w:val="0034434E"/>
    <w:rsid w:val="00344D02"/>
    <w:rsid w:val="003450C8"/>
    <w:rsid w:val="00345532"/>
    <w:rsid w:val="00345F2A"/>
    <w:rsid w:val="00346137"/>
    <w:rsid w:val="00347D98"/>
    <w:rsid w:val="00350BE8"/>
    <w:rsid w:val="00350D7D"/>
    <w:rsid w:val="003512FB"/>
    <w:rsid w:val="00351AF3"/>
    <w:rsid w:val="00351CC6"/>
    <w:rsid w:val="00351DDC"/>
    <w:rsid w:val="0035207A"/>
    <w:rsid w:val="00352301"/>
    <w:rsid w:val="00352A4C"/>
    <w:rsid w:val="00352F6B"/>
    <w:rsid w:val="003548A8"/>
    <w:rsid w:val="00354DF1"/>
    <w:rsid w:val="00355378"/>
    <w:rsid w:val="00355F65"/>
    <w:rsid w:val="003567CB"/>
    <w:rsid w:val="003568F0"/>
    <w:rsid w:val="00357254"/>
    <w:rsid w:val="003574CD"/>
    <w:rsid w:val="00357D5B"/>
    <w:rsid w:val="00360379"/>
    <w:rsid w:val="00361A94"/>
    <w:rsid w:val="003632BE"/>
    <w:rsid w:val="00364E50"/>
    <w:rsid w:val="0036527D"/>
    <w:rsid w:val="003659DF"/>
    <w:rsid w:val="00365A1D"/>
    <w:rsid w:val="00366B08"/>
    <w:rsid w:val="0036740C"/>
    <w:rsid w:val="00371D59"/>
    <w:rsid w:val="00371DBC"/>
    <w:rsid w:val="00372739"/>
    <w:rsid w:val="00372843"/>
    <w:rsid w:val="003728D5"/>
    <w:rsid w:val="00373210"/>
    <w:rsid w:val="00373758"/>
    <w:rsid w:val="00375382"/>
    <w:rsid w:val="003759B2"/>
    <w:rsid w:val="00375D40"/>
    <w:rsid w:val="00375E9C"/>
    <w:rsid w:val="003760E8"/>
    <w:rsid w:val="00376283"/>
    <w:rsid w:val="003763CA"/>
    <w:rsid w:val="0037645A"/>
    <w:rsid w:val="00376545"/>
    <w:rsid w:val="00376584"/>
    <w:rsid w:val="0037667E"/>
    <w:rsid w:val="003771E4"/>
    <w:rsid w:val="00377611"/>
    <w:rsid w:val="00377D0F"/>
    <w:rsid w:val="00381436"/>
    <w:rsid w:val="00381523"/>
    <w:rsid w:val="0038187B"/>
    <w:rsid w:val="00382341"/>
    <w:rsid w:val="00382F1F"/>
    <w:rsid w:val="003846F6"/>
    <w:rsid w:val="00385194"/>
    <w:rsid w:val="00385EED"/>
    <w:rsid w:val="0038722F"/>
    <w:rsid w:val="0039080D"/>
    <w:rsid w:val="003911C3"/>
    <w:rsid w:val="00391D25"/>
    <w:rsid w:val="0039253F"/>
    <w:rsid w:val="00392A69"/>
    <w:rsid w:val="003933A6"/>
    <w:rsid w:val="003943A5"/>
    <w:rsid w:val="0039497F"/>
    <w:rsid w:val="00394DE8"/>
    <w:rsid w:val="00395575"/>
    <w:rsid w:val="00395E2E"/>
    <w:rsid w:val="00395E7E"/>
    <w:rsid w:val="00396EA5"/>
    <w:rsid w:val="003A02A6"/>
    <w:rsid w:val="003A131C"/>
    <w:rsid w:val="003A2052"/>
    <w:rsid w:val="003A30E5"/>
    <w:rsid w:val="003A47A7"/>
    <w:rsid w:val="003A5FDB"/>
    <w:rsid w:val="003A6013"/>
    <w:rsid w:val="003A6D10"/>
    <w:rsid w:val="003A7D38"/>
    <w:rsid w:val="003B08B6"/>
    <w:rsid w:val="003B0EE5"/>
    <w:rsid w:val="003B138B"/>
    <w:rsid w:val="003B15B5"/>
    <w:rsid w:val="003B1965"/>
    <w:rsid w:val="003B1B73"/>
    <w:rsid w:val="003B1D4E"/>
    <w:rsid w:val="003B2373"/>
    <w:rsid w:val="003B237B"/>
    <w:rsid w:val="003B2A47"/>
    <w:rsid w:val="003B392E"/>
    <w:rsid w:val="003B63B1"/>
    <w:rsid w:val="003B64B2"/>
    <w:rsid w:val="003B64D5"/>
    <w:rsid w:val="003B6D64"/>
    <w:rsid w:val="003B7346"/>
    <w:rsid w:val="003B792A"/>
    <w:rsid w:val="003B7C2C"/>
    <w:rsid w:val="003C07CF"/>
    <w:rsid w:val="003C08BD"/>
    <w:rsid w:val="003C095A"/>
    <w:rsid w:val="003C09DA"/>
    <w:rsid w:val="003C2D2B"/>
    <w:rsid w:val="003C2DD2"/>
    <w:rsid w:val="003C519E"/>
    <w:rsid w:val="003C5E45"/>
    <w:rsid w:val="003C5F64"/>
    <w:rsid w:val="003C6058"/>
    <w:rsid w:val="003C6E96"/>
    <w:rsid w:val="003C72B7"/>
    <w:rsid w:val="003C78FC"/>
    <w:rsid w:val="003C7EAE"/>
    <w:rsid w:val="003D044D"/>
    <w:rsid w:val="003D06F4"/>
    <w:rsid w:val="003D12C0"/>
    <w:rsid w:val="003D139C"/>
    <w:rsid w:val="003D1C85"/>
    <w:rsid w:val="003D1D04"/>
    <w:rsid w:val="003D2DC5"/>
    <w:rsid w:val="003D39C4"/>
    <w:rsid w:val="003D3CC1"/>
    <w:rsid w:val="003D49BB"/>
    <w:rsid w:val="003D5738"/>
    <w:rsid w:val="003D6108"/>
    <w:rsid w:val="003D6F46"/>
    <w:rsid w:val="003D76F4"/>
    <w:rsid w:val="003D7A7B"/>
    <w:rsid w:val="003E279C"/>
    <w:rsid w:val="003E338E"/>
    <w:rsid w:val="003E388E"/>
    <w:rsid w:val="003E44A6"/>
    <w:rsid w:val="003E4790"/>
    <w:rsid w:val="003E53A1"/>
    <w:rsid w:val="003E56E9"/>
    <w:rsid w:val="003E5A64"/>
    <w:rsid w:val="003E666D"/>
    <w:rsid w:val="003E6834"/>
    <w:rsid w:val="003E685B"/>
    <w:rsid w:val="003E749F"/>
    <w:rsid w:val="003F01F4"/>
    <w:rsid w:val="003F06F0"/>
    <w:rsid w:val="003F1981"/>
    <w:rsid w:val="003F2097"/>
    <w:rsid w:val="003F2140"/>
    <w:rsid w:val="003F5A3A"/>
    <w:rsid w:val="003F6D4C"/>
    <w:rsid w:val="003F723E"/>
    <w:rsid w:val="003F7C19"/>
    <w:rsid w:val="003F7D52"/>
    <w:rsid w:val="00401408"/>
    <w:rsid w:val="004021B9"/>
    <w:rsid w:val="004027AF"/>
    <w:rsid w:val="00402E9A"/>
    <w:rsid w:val="00403467"/>
    <w:rsid w:val="00403D9B"/>
    <w:rsid w:val="00403F4B"/>
    <w:rsid w:val="004063BA"/>
    <w:rsid w:val="0040751D"/>
    <w:rsid w:val="00407D52"/>
    <w:rsid w:val="00407F28"/>
    <w:rsid w:val="0041064C"/>
    <w:rsid w:val="00411F59"/>
    <w:rsid w:val="00412209"/>
    <w:rsid w:val="00413350"/>
    <w:rsid w:val="00414F7F"/>
    <w:rsid w:val="0041614E"/>
    <w:rsid w:val="00416AAD"/>
    <w:rsid w:val="004171AA"/>
    <w:rsid w:val="004174AF"/>
    <w:rsid w:val="004202FF"/>
    <w:rsid w:val="004208ED"/>
    <w:rsid w:val="004212D9"/>
    <w:rsid w:val="00421A1A"/>
    <w:rsid w:val="00421CEE"/>
    <w:rsid w:val="00422074"/>
    <w:rsid w:val="00422E58"/>
    <w:rsid w:val="00423AC5"/>
    <w:rsid w:val="0042497C"/>
    <w:rsid w:val="00425109"/>
    <w:rsid w:val="0042513D"/>
    <w:rsid w:val="00426EAE"/>
    <w:rsid w:val="0042767D"/>
    <w:rsid w:val="004303E3"/>
    <w:rsid w:val="00432A7B"/>
    <w:rsid w:val="0043342E"/>
    <w:rsid w:val="00433CB7"/>
    <w:rsid w:val="004342A6"/>
    <w:rsid w:val="00434E21"/>
    <w:rsid w:val="004351C0"/>
    <w:rsid w:val="00435340"/>
    <w:rsid w:val="0043653A"/>
    <w:rsid w:val="00436AE9"/>
    <w:rsid w:val="004370B3"/>
    <w:rsid w:val="0043726C"/>
    <w:rsid w:val="00437349"/>
    <w:rsid w:val="00437E0A"/>
    <w:rsid w:val="00441573"/>
    <w:rsid w:val="004418C7"/>
    <w:rsid w:val="004421A4"/>
    <w:rsid w:val="00443031"/>
    <w:rsid w:val="00443B60"/>
    <w:rsid w:val="00445121"/>
    <w:rsid w:val="00445346"/>
    <w:rsid w:val="0044542C"/>
    <w:rsid w:val="00445DBD"/>
    <w:rsid w:val="0044660B"/>
    <w:rsid w:val="00446B11"/>
    <w:rsid w:val="0044738D"/>
    <w:rsid w:val="00447DD1"/>
    <w:rsid w:val="00450EE2"/>
    <w:rsid w:val="004513DD"/>
    <w:rsid w:val="00451472"/>
    <w:rsid w:val="00451970"/>
    <w:rsid w:val="00452027"/>
    <w:rsid w:val="004524C0"/>
    <w:rsid w:val="00452A6B"/>
    <w:rsid w:val="00452CF9"/>
    <w:rsid w:val="00453162"/>
    <w:rsid w:val="004547E7"/>
    <w:rsid w:val="00454EA3"/>
    <w:rsid w:val="00455E20"/>
    <w:rsid w:val="00456252"/>
    <w:rsid w:val="00456ABF"/>
    <w:rsid w:val="00457791"/>
    <w:rsid w:val="00457AAB"/>
    <w:rsid w:val="00457C96"/>
    <w:rsid w:val="00460365"/>
    <w:rsid w:val="00460B7D"/>
    <w:rsid w:val="004615EC"/>
    <w:rsid w:val="00461758"/>
    <w:rsid w:val="004617CB"/>
    <w:rsid w:val="00461942"/>
    <w:rsid w:val="00461E06"/>
    <w:rsid w:val="004627A4"/>
    <w:rsid w:val="00464C77"/>
    <w:rsid w:val="004651E3"/>
    <w:rsid w:val="00465496"/>
    <w:rsid w:val="0046562E"/>
    <w:rsid w:val="0046594C"/>
    <w:rsid w:val="0046630D"/>
    <w:rsid w:val="00466726"/>
    <w:rsid w:val="00466846"/>
    <w:rsid w:val="0046690A"/>
    <w:rsid w:val="00472C7C"/>
    <w:rsid w:val="00472FCB"/>
    <w:rsid w:val="0047364F"/>
    <w:rsid w:val="00473F14"/>
    <w:rsid w:val="004755AE"/>
    <w:rsid w:val="004757A5"/>
    <w:rsid w:val="00476F77"/>
    <w:rsid w:val="004772A8"/>
    <w:rsid w:val="004778A6"/>
    <w:rsid w:val="00481610"/>
    <w:rsid w:val="0048212A"/>
    <w:rsid w:val="00483885"/>
    <w:rsid w:val="00483AEC"/>
    <w:rsid w:val="00484CC0"/>
    <w:rsid w:val="00484E88"/>
    <w:rsid w:val="00484FB1"/>
    <w:rsid w:val="0048525D"/>
    <w:rsid w:val="00485BF8"/>
    <w:rsid w:val="00485FB9"/>
    <w:rsid w:val="00486020"/>
    <w:rsid w:val="004863A9"/>
    <w:rsid w:val="00487B9A"/>
    <w:rsid w:val="0049069C"/>
    <w:rsid w:val="004915BE"/>
    <w:rsid w:val="00492C34"/>
    <w:rsid w:val="00493133"/>
    <w:rsid w:val="0049568F"/>
    <w:rsid w:val="00495E90"/>
    <w:rsid w:val="004966D7"/>
    <w:rsid w:val="00497024"/>
    <w:rsid w:val="0049764D"/>
    <w:rsid w:val="00497DDB"/>
    <w:rsid w:val="004A0A58"/>
    <w:rsid w:val="004A17CF"/>
    <w:rsid w:val="004A2495"/>
    <w:rsid w:val="004A419F"/>
    <w:rsid w:val="004A4452"/>
    <w:rsid w:val="004A575D"/>
    <w:rsid w:val="004A5F35"/>
    <w:rsid w:val="004A6196"/>
    <w:rsid w:val="004A73BB"/>
    <w:rsid w:val="004B0336"/>
    <w:rsid w:val="004B0679"/>
    <w:rsid w:val="004B0F53"/>
    <w:rsid w:val="004B13AF"/>
    <w:rsid w:val="004B15C8"/>
    <w:rsid w:val="004B35D3"/>
    <w:rsid w:val="004B374C"/>
    <w:rsid w:val="004B3800"/>
    <w:rsid w:val="004B3A88"/>
    <w:rsid w:val="004B40D5"/>
    <w:rsid w:val="004B4501"/>
    <w:rsid w:val="004B4E03"/>
    <w:rsid w:val="004B4F9F"/>
    <w:rsid w:val="004B5977"/>
    <w:rsid w:val="004B61D6"/>
    <w:rsid w:val="004B65EF"/>
    <w:rsid w:val="004B6621"/>
    <w:rsid w:val="004B6B49"/>
    <w:rsid w:val="004B7CEA"/>
    <w:rsid w:val="004C0BEE"/>
    <w:rsid w:val="004C0F09"/>
    <w:rsid w:val="004C1363"/>
    <w:rsid w:val="004C2072"/>
    <w:rsid w:val="004C237D"/>
    <w:rsid w:val="004C2C0B"/>
    <w:rsid w:val="004C4782"/>
    <w:rsid w:val="004C47CD"/>
    <w:rsid w:val="004C4E6A"/>
    <w:rsid w:val="004C53CE"/>
    <w:rsid w:val="004C5533"/>
    <w:rsid w:val="004C5C4A"/>
    <w:rsid w:val="004C70BE"/>
    <w:rsid w:val="004D0962"/>
    <w:rsid w:val="004D0F47"/>
    <w:rsid w:val="004D3313"/>
    <w:rsid w:val="004D3422"/>
    <w:rsid w:val="004D36E6"/>
    <w:rsid w:val="004D3A73"/>
    <w:rsid w:val="004D3A8E"/>
    <w:rsid w:val="004D424C"/>
    <w:rsid w:val="004D4325"/>
    <w:rsid w:val="004D5686"/>
    <w:rsid w:val="004D6083"/>
    <w:rsid w:val="004D6124"/>
    <w:rsid w:val="004D7BB8"/>
    <w:rsid w:val="004E09F2"/>
    <w:rsid w:val="004E0C23"/>
    <w:rsid w:val="004E115F"/>
    <w:rsid w:val="004E1E4A"/>
    <w:rsid w:val="004E34D0"/>
    <w:rsid w:val="004E3A7E"/>
    <w:rsid w:val="004E3FEC"/>
    <w:rsid w:val="004E43EE"/>
    <w:rsid w:val="004E66BF"/>
    <w:rsid w:val="004E7643"/>
    <w:rsid w:val="004E7C66"/>
    <w:rsid w:val="004F1199"/>
    <w:rsid w:val="004F15CD"/>
    <w:rsid w:val="004F1C26"/>
    <w:rsid w:val="004F1EA3"/>
    <w:rsid w:val="004F24B3"/>
    <w:rsid w:val="004F25A2"/>
    <w:rsid w:val="004F2819"/>
    <w:rsid w:val="004F46D7"/>
    <w:rsid w:val="004F4C80"/>
    <w:rsid w:val="004F618F"/>
    <w:rsid w:val="004F66F4"/>
    <w:rsid w:val="004F684A"/>
    <w:rsid w:val="004F7F8A"/>
    <w:rsid w:val="00501A11"/>
    <w:rsid w:val="00501C05"/>
    <w:rsid w:val="0050245C"/>
    <w:rsid w:val="00502778"/>
    <w:rsid w:val="005048F9"/>
    <w:rsid w:val="00504C69"/>
    <w:rsid w:val="005053E6"/>
    <w:rsid w:val="00505434"/>
    <w:rsid w:val="005055C4"/>
    <w:rsid w:val="0050590A"/>
    <w:rsid w:val="00506706"/>
    <w:rsid w:val="0050675D"/>
    <w:rsid w:val="0050759B"/>
    <w:rsid w:val="00507E3A"/>
    <w:rsid w:val="00507F8B"/>
    <w:rsid w:val="005100E0"/>
    <w:rsid w:val="0051032E"/>
    <w:rsid w:val="005104C8"/>
    <w:rsid w:val="0051060A"/>
    <w:rsid w:val="00510655"/>
    <w:rsid w:val="005107F8"/>
    <w:rsid w:val="005109E8"/>
    <w:rsid w:val="00510B4E"/>
    <w:rsid w:val="005113E8"/>
    <w:rsid w:val="005118C7"/>
    <w:rsid w:val="00512DE0"/>
    <w:rsid w:val="0051348E"/>
    <w:rsid w:val="00513E9B"/>
    <w:rsid w:val="005142A1"/>
    <w:rsid w:val="00517927"/>
    <w:rsid w:val="005203B6"/>
    <w:rsid w:val="005212FC"/>
    <w:rsid w:val="00521428"/>
    <w:rsid w:val="00521E3A"/>
    <w:rsid w:val="0052219D"/>
    <w:rsid w:val="00522353"/>
    <w:rsid w:val="005237B0"/>
    <w:rsid w:val="00523A19"/>
    <w:rsid w:val="00523C9A"/>
    <w:rsid w:val="00523E54"/>
    <w:rsid w:val="0052418A"/>
    <w:rsid w:val="005246B0"/>
    <w:rsid w:val="005246C3"/>
    <w:rsid w:val="00524804"/>
    <w:rsid w:val="00524CEA"/>
    <w:rsid w:val="005266FF"/>
    <w:rsid w:val="005267D3"/>
    <w:rsid w:val="00526B32"/>
    <w:rsid w:val="0052746D"/>
    <w:rsid w:val="00527E35"/>
    <w:rsid w:val="00530B94"/>
    <w:rsid w:val="00530CFE"/>
    <w:rsid w:val="00530FE5"/>
    <w:rsid w:val="0053153E"/>
    <w:rsid w:val="0053230E"/>
    <w:rsid w:val="005325B7"/>
    <w:rsid w:val="00532644"/>
    <w:rsid w:val="0053283E"/>
    <w:rsid w:val="00532A72"/>
    <w:rsid w:val="00532F0A"/>
    <w:rsid w:val="00533AFB"/>
    <w:rsid w:val="00533BC2"/>
    <w:rsid w:val="005358C9"/>
    <w:rsid w:val="00536695"/>
    <w:rsid w:val="00536AB3"/>
    <w:rsid w:val="00536DE4"/>
    <w:rsid w:val="00537388"/>
    <w:rsid w:val="00537B76"/>
    <w:rsid w:val="00537D20"/>
    <w:rsid w:val="005409A3"/>
    <w:rsid w:val="00541542"/>
    <w:rsid w:val="005427D0"/>
    <w:rsid w:val="00542D52"/>
    <w:rsid w:val="005434E2"/>
    <w:rsid w:val="00543996"/>
    <w:rsid w:val="00544905"/>
    <w:rsid w:val="005453BE"/>
    <w:rsid w:val="0054601D"/>
    <w:rsid w:val="005464E4"/>
    <w:rsid w:val="00546C8B"/>
    <w:rsid w:val="00547060"/>
    <w:rsid w:val="005475FF"/>
    <w:rsid w:val="0054777A"/>
    <w:rsid w:val="00547BB3"/>
    <w:rsid w:val="00547CAF"/>
    <w:rsid w:val="005501E1"/>
    <w:rsid w:val="00551168"/>
    <w:rsid w:val="005525D9"/>
    <w:rsid w:val="00552E41"/>
    <w:rsid w:val="00553784"/>
    <w:rsid w:val="00554C8D"/>
    <w:rsid w:val="00555118"/>
    <w:rsid w:val="005552C3"/>
    <w:rsid w:val="00555387"/>
    <w:rsid w:val="00555866"/>
    <w:rsid w:val="00555C6C"/>
    <w:rsid w:val="00555F7B"/>
    <w:rsid w:val="00556C0F"/>
    <w:rsid w:val="00556C7E"/>
    <w:rsid w:val="0056034C"/>
    <w:rsid w:val="00560AAA"/>
    <w:rsid w:val="00563187"/>
    <w:rsid w:val="00564890"/>
    <w:rsid w:val="0056509D"/>
    <w:rsid w:val="00565470"/>
    <w:rsid w:val="00565A51"/>
    <w:rsid w:val="00565C57"/>
    <w:rsid w:val="00565CFA"/>
    <w:rsid w:val="00565E34"/>
    <w:rsid w:val="00566AD1"/>
    <w:rsid w:val="00566E0F"/>
    <w:rsid w:val="005703F0"/>
    <w:rsid w:val="00570A5C"/>
    <w:rsid w:val="00570B4A"/>
    <w:rsid w:val="00570FC7"/>
    <w:rsid w:val="00571FC9"/>
    <w:rsid w:val="00572EF4"/>
    <w:rsid w:val="00572EFF"/>
    <w:rsid w:val="00573387"/>
    <w:rsid w:val="005739E4"/>
    <w:rsid w:val="00574A2A"/>
    <w:rsid w:val="00574EC9"/>
    <w:rsid w:val="005751EA"/>
    <w:rsid w:val="005753E4"/>
    <w:rsid w:val="0057547F"/>
    <w:rsid w:val="005758ED"/>
    <w:rsid w:val="00576743"/>
    <w:rsid w:val="00577653"/>
    <w:rsid w:val="00577E5E"/>
    <w:rsid w:val="0058001A"/>
    <w:rsid w:val="00581F2A"/>
    <w:rsid w:val="0058272A"/>
    <w:rsid w:val="005832B6"/>
    <w:rsid w:val="005835A6"/>
    <w:rsid w:val="00583659"/>
    <w:rsid w:val="00583D92"/>
    <w:rsid w:val="005842C9"/>
    <w:rsid w:val="00584355"/>
    <w:rsid w:val="00584483"/>
    <w:rsid w:val="00584F3C"/>
    <w:rsid w:val="00585573"/>
    <w:rsid w:val="00586678"/>
    <w:rsid w:val="00586849"/>
    <w:rsid w:val="005868F3"/>
    <w:rsid w:val="00586BAE"/>
    <w:rsid w:val="00586C43"/>
    <w:rsid w:val="005876F4"/>
    <w:rsid w:val="00590128"/>
    <w:rsid w:val="00590F9F"/>
    <w:rsid w:val="0059203A"/>
    <w:rsid w:val="005936D5"/>
    <w:rsid w:val="005938DC"/>
    <w:rsid w:val="00593A3A"/>
    <w:rsid w:val="00593D3E"/>
    <w:rsid w:val="005941DC"/>
    <w:rsid w:val="00594642"/>
    <w:rsid w:val="00597A09"/>
    <w:rsid w:val="005A0E1A"/>
    <w:rsid w:val="005A2A75"/>
    <w:rsid w:val="005A3DE7"/>
    <w:rsid w:val="005A3FAB"/>
    <w:rsid w:val="005A4806"/>
    <w:rsid w:val="005A6823"/>
    <w:rsid w:val="005A7761"/>
    <w:rsid w:val="005A7D8E"/>
    <w:rsid w:val="005B0501"/>
    <w:rsid w:val="005B0E28"/>
    <w:rsid w:val="005B24DF"/>
    <w:rsid w:val="005B297E"/>
    <w:rsid w:val="005B2B38"/>
    <w:rsid w:val="005B3024"/>
    <w:rsid w:val="005B34B6"/>
    <w:rsid w:val="005B355A"/>
    <w:rsid w:val="005B5BA6"/>
    <w:rsid w:val="005B5D56"/>
    <w:rsid w:val="005B667C"/>
    <w:rsid w:val="005B682D"/>
    <w:rsid w:val="005B737A"/>
    <w:rsid w:val="005B74AD"/>
    <w:rsid w:val="005C01DE"/>
    <w:rsid w:val="005C0617"/>
    <w:rsid w:val="005C1050"/>
    <w:rsid w:val="005C1913"/>
    <w:rsid w:val="005C3453"/>
    <w:rsid w:val="005C3768"/>
    <w:rsid w:val="005C380E"/>
    <w:rsid w:val="005C39AB"/>
    <w:rsid w:val="005C4315"/>
    <w:rsid w:val="005C48F7"/>
    <w:rsid w:val="005C4A3A"/>
    <w:rsid w:val="005C555C"/>
    <w:rsid w:val="005C565E"/>
    <w:rsid w:val="005C5AB9"/>
    <w:rsid w:val="005C6000"/>
    <w:rsid w:val="005C7161"/>
    <w:rsid w:val="005D13B7"/>
    <w:rsid w:val="005D1565"/>
    <w:rsid w:val="005D1BE4"/>
    <w:rsid w:val="005D3DDC"/>
    <w:rsid w:val="005D5038"/>
    <w:rsid w:val="005D5D36"/>
    <w:rsid w:val="005D642C"/>
    <w:rsid w:val="005D71E6"/>
    <w:rsid w:val="005D7339"/>
    <w:rsid w:val="005E08C8"/>
    <w:rsid w:val="005E0AB6"/>
    <w:rsid w:val="005E1284"/>
    <w:rsid w:val="005E1306"/>
    <w:rsid w:val="005E18C9"/>
    <w:rsid w:val="005E1DBD"/>
    <w:rsid w:val="005E250A"/>
    <w:rsid w:val="005E4A17"/>
    <w:rsid w:val="005E604C"/>
    <w:rsid w:val="005E6281"/>
    <w:rsid w:val="005E66A5"/>
    <w:rsid w:val="005E74D0"/>
    <w:rsid w:val="005E752A"/>
    <w:rsid w:val="005F0032"/>
    <w:rsid w:val="005F11C8"/>
    <w:rsid w:val="005F1438"/>
    <w:rsid w:val="005F1D8E"/>
    <w:rsid w:val="005F252C"/>
    <w:rsid w:val="005F2EF0"/>
    <w:rsid w:val="005F3278"/>
    <w:rsid w:val="005F358E"/>
    <w:rsid w:val="005F3A4E"/>
    <w:rsid w:val="005F3A7A"/>
    <w:rsid w:val="005F47DE"/>
    <w:rsid w:val="005F4AE6"/>
    <w:rsid w:val="005F638C"/>
    <w:rsid w:val="005F6BD7"/>
    <w:rsid w:val="005F7D16"/>
    <w:rsid w:val="005F7D59"/>
    <w:rsid w:val="006003B0"/>
    <w:rsid w:val="006006AA"/>
    <w:rsid w:val="00600822"/>
    <w:rsid w:val="00600866"/>
    <w:rsid w:val="00600A67"/>
    <w:rsid w:val="00600E43"/>
    <w:rsid w:val="0060124E"/>
    <w:rsid w:val="006023EE"/>
    <w:rsid w:val="0060310F"/>
    <w:rsid w:val="0060324A"/>
    <w:rsid w:val="00603907"/>
    <w:rsid w:val="00603E11"/>
    <w:rsid w:val="00604369"/>
    <w:rsid w:val="00605564"/>
    <w:rsid w:val="00605E44"/>
    <w:rsid w:val="00607B3A"/>
    <w:rsid w:val="00607D5E"/>
    <w:rsid w:val="00610384"/>
    <w:rsid w:val="00610F9D"/>
    <w:rsid w:val="00611515"/>
    <w:rsid w:val="00611949"/>
    <w:rsid w:val="006120A0"/>
    <w:rsid w:val="00613946"/>
    <w:rsid w:val="00613991"/>
    <w:rsid w:val="006149AE"/>
    <w:rsid w:val="00614A49"/>
    <w:rsid w:val="00615CFD"/>
    <w:rsid w:val="00615D2B"/>
    <w:rsid w:val="00616394"/>
    <w:rsid w:val="00617926"/>
    <w:rsid w:val="0062000D"/>
    <w:rsid w:val="0062278D"/>
    <w:rsid w:val="00623DD6"/>
    <w:rsid w:val="0062527A"/>
    <w:rsid w:val="00625664"/>
    <w:rsid w:val="0062583C"/>
    <w:rsid w:val="00626298"/>
    <w:rsid w:val="0062666B"/>
    <w:rsid w:val="00626A17"/>
    <w:rsid w:val="0063023B"/>
    <w:rsid w:val="00630B60"/>
    <w:rsid w:val="00631917"/>
    <w:rsid w:val="00631AE5"/>
    <w:rsid w:val="00631C63"/>
    <w:rsid w:val="00631DBF"/>
    <w:rsid w:val="00631E4D"/>
    <w:rsid w:val="00631FE6"/>
    <w:rsid w:val="00632048"/>
    <w:rsid w:val="006327F5"/>
    <w:rsid w:val="00632CDA"/>
    <w:rsid w:val="00632F68"/>
    <w:rsid w:val="00633319"/>
    <w:rsid w:val="006336AC"/>
    <w:rsid w:val="00633F84"/>
    <w:rsid w:val="0063510F"/>
    <w:rsid w:val="0063582C"/>
    <w:rsid w:val="006358D0"/>
    <w:rsid w:val="00636DA4"/>
    <w:rsid w:val="00637BF0"/>
    <w:rsid w:val="0064075F"/>
    <w:rsid w:val="00640F1D"/>
    <w:rsid w:val="006415E2"/>
    <w:rsid w:val="0064239F"/>
    <w:rsid w:val="00644081"/>
    <w:rsid w:val="00645575"/>
    <w:rsid w:val="00645B26"/>
    <w:rsid w:val="00646239"/>
    <w:rsid w:val="00646590"/>
    <w:rsid w:val="006465EA"/>
    <w:rsid w:val="0064668D"/>
    <w:rsid w:val="00647A9F"/>
    <w:rsid w:val="00647C31"/>
    <w:rsid w:val="006501D6"/>
    <w:rsid w:val="00650E08"/>
    <w:rsid w:val="00651E57"/>
    <w:rsid w:val="0065261C"/>
    <w:rsid w:val="00652811"/>
    <w:rsid w:val="0065365C"/>
    <w:rsid w:val="00653704"/>
    <w:rsid w:val="00653961"/>
    <w:rsid w:val="00653A53"/>
    <w:rsid w:val="00653C57"/>
    <w:rsid w:val="00654534"/>
    <w:rsid w:val="00655039"/>
    <w:rsid w:val="00655374"/>
    <w:rsid w:val="00655A59"/>
    <w:rsid w:val="00655FDD"/>
    <w:rsid w:val="0065706F"/>
    <w:rsid w:val="00657A2E"/>
    <w:rsid w:val="0066019F"/>
    <w:rsid w:val="00660704"/>
    <w:rsid w:val="00661041"/>
    <w:rsid w:val="0066114F"/>
    <w:rsid w:val="006622C2"/>
    <w:rsid w:val="0066249A"/>
    <w:rsid w:val="0066251C"/>
    <w:rsid w:val="00662EFC"/>
    <w:rsid w:val="00663636"/>
    <w:rsid w:val="006643B9"/>
    <w:rsid w:val="006653C5"/>
    <w:rsid w:val="00667848"/>
    <w:rsid w:val="00670D41"/>
    <w:rsid w:val="006716FF"/>
    <w:rsid w:val="00672410"/>
    <w:rsid w:val="00672DAA"/>
    <w:rsid w:val="006732CC"/>
    <w:rsid w:val="00673809"/>
    <w:rsid w:val="006738B1"/>
    <w:rsid w:val="0067444C"/>
    <w:rsid w:val="00674D55"/>
    <w:rsid w:val="0067676E"/>
    <w:rsid w:val="006771CD"/>
    <w:rsid w:val="006774E7"/>
    <w:rsid w:val="0067766A"/>
    <w:rsid w:val="00680C3A"/>
    <w:rsid w:val="00681439"/>
    <w:rsid w:val="006828B7"/>
    <w:rsid w:val="00682E9F"/>
    <w:rsid w:val="00682F4D"/>
    <w:rsid w:val="00683753"/>
    <w:rsid w:val="006844B5"/>
    <w:rsid w:val="00685222"/>
    <w:rsid w:val="00685D53"/>
    <w:rsid w:val="00685FEE"/>
    <w:rsid w:val="00686A12"/>
    <w:rsid w:val="006876D7"/>
    <w:rsid w:val="00687CCA"/>
    <w:rsid w:val="00690694"/>
    <w:rsid w:val="00691050"/>
    <w:rsid w:val="00691C66"/>
    <w:rsid w:val="00691F02"/>
    <w:rsid w:val="006930AE"/>
    <w:rsid w:val="006933BC"/>
    <w:rsid w:val="006935F1"/>
    <w:rsid w:val="00693F12"/>
    <w:rsid w:val="00694181"/>
    <w:rsid w:val="0069522A"/>
    <w:rsid w:val="0069586D"/>
    <w:rsid w:val="006960DC"/>
    <w:rsid w:val="006960FB"/>
    <w:rsid w:val="00696B32"/>
    <w:rsid w:val="00696CB4"/>
    <w:rsid w:val="00696CCB"/>
    <w:rsid w:val="00697A19"/>
    <w:rsid w:val="006A0AAC"/>
    <w:rsid w:val="006A18FD"/>
    <w:rsid w:val="006A1DCE"/>
    <w:rsid w:val="006A1F54"/>
    <w:rsid w:val="006A2F3B"/>
    <w:rsid w:val="006A322B"/>
    <w:rsid w:val="006A5035"/>
    <w:rsid w:val="006A57AC"/>
    <w:rsid w:val="006A6538"/>
    <w:rsid w:val="006A67F9"/>
    <w:rsid w:val="006A6C51"/>
    <w:rsid w:val="006A6E09"/>
    <w:rsid w:val="006A7868"/>
    <w:rsid w:val="006B30C9"/>
    <w:rsid w:val="006B5104"/>
    <w:rsid w:val="006B5B35"/>
    <w:rsid w:val="006B7032"/>
    <w:rsid w:val="006C049D"/>
    <w:rsid w:val="006C0DA9"/>
    <w:rsid w:val="006C0F8D"/>
    <w:rsid w:val="006C1F4F"/>
    <w:rsid w:val="006C1F7D"/>
    <w:rsid w:val="006C28D6"/>
    <w:rsid w:val="006C2BA4"/>
    <w:rsid w:val="006C2DF7"/>
    <w:rsid w:val="006C322B"/>
    <w:rsid w:val="006C42F7"/>
    <w:rsid w:val="006C5644"/>
    <w:rsid w:val="006C6325"/>
    <w:rsid w:val="006C6B95"/>
    <w:rsid w:val="006C76F6"/>
    <w:rsid w:val="006C7CB3"/>
    <w:rsid w:val="006C7F2E"/>
    <w:rsid w:val="006C7F6E"/>
    <w:rsid w:val="006C7F96"/>
    <w:rsid w:val="006D00FF"/>
    <w:rsid w:val="006D2219"/>
    <w:rsid w:val="006D3B21"/>
    <w:rsid w:val="006D408F"/>
    <w:rsid w:val="006D4D6B"/>
    <w:rsid w:val="006D5262"/>
    <w:rsid w:val="006D600E"/>
    <w:rsid w:val="006D6478"/>
    <w:rsid w:val="006D6923"/>
    <w:rsid w:val="006D76CC"/>
    <w:rsid w:val="006D798B"/>
    <w:rsid w:val="006E083B"/>
    <w:rsid w:val="006E0F59"/>
    <w:rsid w:val="006E1C9B"/>
    <w:rsid w:val="006E20C2"/>
    <w:rsid w:val="006E27B8"/>
    <w:rsid w:val="006E2CED"/>
    <w:rsid w:val="006E40F0"/>
    <w:rsid w:val="006E42D0"/>
    <w:rsid w:val="006E49CF"/>
    <w:rsid w:val="006E4BF5"/>
    <w:rsid w:val="006E6A8B"/>
    <w:rsid w:val="006E709E"/>
    <w:rsid w:val="006E7725"/>
    <w:rsid w:val="006F0100"/>
    <w:rsid w:val="006F01A6"/>
    <w:rsid w:val="006F01E8"/>
    <w:rsid w:val="006F107E"/>
    <w:rsid w:val="006F209E"/>
    <w:rsid w:val="006F3561"/>
    <w:rsid w:val="006F3D05"/>
    <w:rsid w:val="006F3FA2"/>
    <w:rsid w:val="006F48B7"/>
    <w:rsid w:val="006F4E7D"/>
    <w:rsid w:val="006F6EA4"/>
    <w:rsid w:val="00700795"/>
    <w:rsid w:val="00700B7B"/>
    <w:rsid w:val="00702B9C"/>
    <w:rsid w:val="00703DA0"/>
    <w:rsid w:val="00703FC8"/>
    <w:rsid w:val="0070411F"/>
    <w:rsid w:val="00704131"/>
    <w:rsid w:val="00705D8F"/>
    <w:rsid w:val="007064B7"/>
    <w:rsid w:val="00706F61"/>
    <w:rsid w:val="00707288"/>
    <w:rsid w:val="007113FC"/>
    <w:rsid w:val="00711465"/>
    <w:rsid w:val="007119D9"/>
    <w:rsid w:val="00711AEE"/>
    <w:rsid w:val="007124CA"/>
    <w:rsid w:val="00712716"/>
    <w:rsid w:val="00712F45"/>
    <w:rsid w:val="00712F6B"/>
    <w:rsid w:val="007135D7"/>
    <w:rsid w:val="007158A8"/>
    <w:rsid w:val="00715B41"/>
    <w:rsid w:val="0071652C"/>
    <w:rsid w:val="007171CC"/>
    <w:rsid w:val="0071788D"/>
    <w:rsid w:val="007277C8"/>
    <w:rsid w:val="00727C81"/>
    <w:rsid w:val="00727EEB"/>
    <w:rsid w:val="00730909"/>
    <w:rsid w:val="0073138D"/>
    <w:rsid w:val="007314ED"/>
    <w:rsid w:val="0073188C"/>
    <w:rsid w:val="00732768"/>
    <w:rsid w:val="00733049"/>
    <w:rsid w:val="00734835"/>
    <w:rsid w:val="007359F6"/>
    <w:rsid w:val="00735DA7"/>
    <w:rsid w:val="00737BD4"/>
    <w:rsid w:val="00737BEE"/>
    <w:rsid w:val="00740450"/>
    <w:rsid w:val="0074063F"/>
    <w:rsid w:val="00741833"/>
    <w:rsid w:val="0074297A"/>
    <w:rsid w:val="0074324A"/>
    <w:rsid w:val="00743613"/>
    <w:rsid w:val="0074433E"/>
    <w:rsid w:val="00744686"/>
    <w:rsid w:val="007452D9"/>
    <w:rsid w:val="0074550F"/>
    <w:rsid w:val="007458C8"/>
    <w:rsid w:val="00745E80"/>
    <w:rsid w:val="00746153"/>
    <w:rsid w:val="00746724"/>
    <w:rsid w:val="00746A29"/>
    <w:rsid w:val="007479B6"/>
    <w:rsid w:val="00747F86"/>
    <w:rsid w:val="00750852"/>
    <w:rsid w:val="00750C36"/>
    <w:rsid w:val="00751709"/>
    <w:rsid w:val="00751C0B"/>
    <w:rsid w:val="00752C84"/>
    <w:rsid w:val="00753827"/>
    <w:rsid w:val="00753F97"/>
    <w:rsid w:val="00754DAF"/>
    <w:rsid w:val="007556C9"/>
    <w:rsid w:val="00755D6C"/>
    <w:rsid w:val="00756799"/>
    <w:rsid w:val="00756BAF"/>
    <w:rsid w:val="007573F1"/>
    <w:rsid w:val="00757A66"/>
    <w:rsid w:val="00757EF8"/>
    <w:rsid w:val="0076142B"/>
    <w:rsid w:val="00762A01"/>
    <w:rsid w:val="00762B8F"/>
    <w:rsid w:val="00762BE7"/>
    <w:rsid w:val="00762D56"/>
    <w:rsid w:val="007631E9"/>
    <w:rsid w:val="007633E1"/>
    <w:rsid w:val="00763C61"/>
    <w:rsid w:val="00766846"/>
    <w:rsid w:val="00767BD6"/>
    <w:rsid w:val="00770CFC"/>
    <w:rsid w:val="00771A80"/>
    <w:rsid w:val="00772095"/>
    <w:rsid w:val="00774EEF"/>
    <w:rsid w:val="007761AC"/>
    <w:rsid w:val="00777371"/>
    <w:rsid w:val="007804C5"/>
    <w:rsid w:val="00780BE2"/>
    <w:rsid w:val="00781B1B"/>
    <w:rsid w:val="00782F67"/>
    <w:rsid w:val="007836FE"/>
    <w:rsid w:val="00783713"/>
    <w:rsid w:val="00783A95"/>
    <w:rsid w:val="00784712"/>
    <w:rsid w:val="00784FA8"/>
    <w:rsid w:val="007868F6"/>
    <w:rsid w:val="00786A34"/>
    <w:rsid w:val="00787A29"/>
    <w:rsid w:val="00790546"/>
    <w:rsid w:val="00790BA4"/>
    <w:rsid w:val="007923C6"/>
    <w:rsid w:val="00792A68"/>
    <w:rsid w:val="00793B99"/>
    <w:rsid w:val="0079407D"/>
    <w:rsid w:val="00794B09"/>
    <w:rsid w:val="00795252"/>
    <w:rsid w:val="00795D22"/>
    <w:rsid w:val="007961BF"/>
    <w:rsid w:val="00796544"/>
    <w:rsid w:val="007968A7"/>
    <w:rsid w:val="007968F2"/>
    <w:rsid w:val="007A1308"/>
    <w:rsid w:val="007A15CC"/>
    <w:rsid w:val="007A1787"/>
    <w:rsid w:val="007A18AD"/>
    <w:rsid w:val="007A2AC0"/>
    <w:rsid w:val="007A398F"/>
    <w:rsid w:val="007A43C2"/>
    <w:rsid w:val="007A446A"/>
    <w:rsid w:val="007A4D35"/>
    <w:rsid w:val="007A5280"/>
    <w:rsid w:val="007A6E8A"/>
    <w:rsid w:val="007A6F84"/>
    <w:rsid w:val="007A7032"/>
    <w:rsid w:val="007A7B13"/>
    <w:rsid w:val="007B09EB"/>
    <w:rsid w:val="007B1B97"/>
    <w:rsid w:val="007B1BD1"/>
    <w:rsid w:val="007B1D22"/>
    <w:rsid w:val="007B44A7"/>
    <w:rsid w:val="007B467E"/>
    <w:rsid w:val="007B5833"/>
    <w:rsid w:val="007B59C6"/>
    <w:rsid w:val="007B5FBB"/>
    <w:rsid w:val="007B6E46"/>
    <w:rsid w:val="007C01AC"/>
    <w:rsid w:val="007C1422"/>
    <w:rsid w:val="007C15B6"/>
    <w:rsid w:val="007C1EE7"/>
    <w:rsid w:val="007C2801"/>
    <w:rsid w:val="007C3318"/>
    <w:rsid w:val="007C33C9"/>
    <w:rsid w:val="007C34DB"/>
    <w:rsid w:val="007C3B49"/>
    <w:rsid w:val="007C44B3"/>
    <w:rsid w:val="007C4781"/>
    <w:rsid w:val="007C4867"/>
    <w:rsid w:val="007C51B1"/>
    <w:rsid w:val="007C54C3"/>
    <w:rsid w:val="007C72F8"/>
    <w:rsid w:val="007C7427"/>
    <w:rsid w:val="007D0EF1"/>
    <w:rsid w:val="007D1077"/>
    <w:rsid w:val="007D1286"/>
    <w:rsid w:val="007D25C6"/>
    <w:rsid w:val="007D2E2C"/>
    <w:rsid w:val="007D3C31"/>
    <w:rsid w:val="007D4279"/>
    <w:rsid w:val="007D505A"/>
    <w:rsid w:val="007D7B82"/>
    <w:rsid w:val="007E0121"/>
    <w:rsid w:val="007E0266"/>
    <w:rsid w:val="007E0830"/>
    <w:rsid w:val="007E11F5"/>
    <w:rsid w:val="007E1284"/>
    <w:rsid w:val="007E14B6"/>
    <w:rsid w:val="007E1777"/>
    <w:rsid w:val="007E28D5"/>
    <w:rsid w:val="007E2A6C"/>
    <w:rsid w:val="007E36D6"/>
    <w:rsid w:val="007E3907"/>
    <w:rsid w:val="007E3AD9"/>
    <w:rsid w:val="007E5575"/>
    <w:rsid w:val="007E6175"/>
    <w:rsid w:val="007E65B1"/>
    <w:rsid w:val="007E7328"/>
    <w:rsid w:val="007F1E49"/>
    <w:rsid w:val="007F1E7C"/>
    <w:rsid w:val="007F4636"/>
    <w:rsid w:val="007F4FDF"/>
    <w:rsid w:val="007F52BF"/>
    <w:rsid w:val="007F6674"/>
    <w:rsid w:val="007F6B45"/>
    <w:rsid w:val="007F6E3D"/>
    <w:rsid w:val="007F6E73"/>
    <w:rsid w:val="007F6EA4"/>
    <w:rsid w:val="007F706C"/>
    <w:rsid w:val="008002E4"/>
    <w:rsid w:val="00801193"/>
    <w:rsid w:val="00801861"/>
    <w:rsid w:val="00801CCD"/>
    <w:rsid w:val="0080495E"/>
    <w:rsid w:val="008052FA"/>
    <w:rsid w:val="00805EA5"/>
    <w:rsid w:val="008060C9"/>
    <w:rsid w:val="00806550"/>
    <w:rsid w:val="00806924"/>
    <w:rsid w:val="00807A57"/>
    <w:rsid w:val="00807D97"/>
    <w:rsid w:val="008106EC"/>
    <w:rsid w:val="0081184C"/>
    <w:rsid w:val="0081193F"/>
    <w:rsid w:val="00812C86"/>
    <w:rsid w:val="0081340B"/>
    <w:rsid w:val="00813BEA"/>
    <w:rsid w:val="0081472C"/>
    <w:rsid w:val="00815116"/>
    <w:rsid w:val="008154EC"/>
    <w:rsid w:val="00815A5F"/>
    <w:rsid w:val="00815C50"/>
    <w:rsid w:val="00815EEA"/>
    <w:rsid w:val="0081666B"/>
    <w:rsid w:val="00816EE2"/>
    <w:rsid w:val="00817E9D"/>
    <w:rsid w:val="00817EE5"/>
    <w:rsid w:val="008206C0"/>
    <w:rsid w:val="0082077E"/>
    <w:rsid w:val="00821BAD"/>
    <w:rsid w:val="0082304D"/>
    <w:rsid w:val="008230E2"/>
    <w:rsid w:val="0082318E"/>
    <w:rsid w:val="00823517"/>
    <w:rsid w:val="008239C6"/>
    <w:rsid w:val="00823D4A"/>
    <w:rsid w:val="008252AA"/>
    <w:rsid w:val="00825C5A"/>
    <w:rsid w:val="008264BD"/>
    <w:rsid w:val="008265BF"/>
    <w:rsid w:val="00826CA1"/>
    <w:rsid w:val="0082715E"/>
    <w:rsid w:val="008277D8"/>
    <w:rsid w:val="00827E43"/>
    <w:rsid w:val="00830119"/>
    <w:rsid w:val="008303F4"/>
    <w:rsid w:val="00830BAE"/>
    <w:rsid w:val="008322E9"/>
    <w:rsid w:val="008327AC"/>
    <w:rsid w:val="00832F38"/>
    <w:rsid w:val="00833892"/>
    <w:rsid w:val="00834024"/>
    <w:rsid w:val="0083448E"/>
    <w:rsid w:val="008349FD"/>
    <w:rsid w:val="00834D27"/>
    <w:rsid w:val="008357B2"/>
    <w:rsid w:val="00835D37"/>
    <w:rsid w:val="00835DB0"/>
    <w:rsid w:val="00835EA0"/>
    <w:rsid w:val="008375B4"/>
    <w:rsid w:val="008405AA"/>
    <w:rsid w:val="0084062A"/>
    <w:rsid w:val="008406A3"/>
    <w:rsid w:val="00841A07"/>
    <w:rsid w:val="00841D4F"/>
    <w:rsid w:val="00842166"/>
    <w:rsid w:val="008427FA"/>
    <w:rsid w:val="00842C4D"/>
    <w:rsid w:val="00842CAF"/>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80C"/>
    <w:rsid w:val="00850864"/>
    <w:rsid w:val="00850C6F"/>
    <w:rsid w:val="00850F29"/>
    <w:rsid w:val="008510BC"/>
    <w:rsid w:val="0085132E"/>
    <w:rsid w:val="00851363"/>
    <w:rsid w:val="00851F40"/>
    <w:rsid w:val="008528BB"/>
    <w:rsid w:val="0085351B"/>
    <w:rsid w:val="00853A67"/>
    <w:rsid w:val="008547D6"/>
    <w:rsid w:val="0085591E"/>
    <w:rsid w:val="00855943"/>
    <w:rsid w:val="00855B00"/>
    <w:rsid w:val="00856081"/>
    <w:rsid w:val="00856C12"/>
    <w:rsid w:val="00856F8F"/>
    <w:rsid w:val="008570FC"/>
    <w:rsid w:val="00857473"/>
    <w:rsid w:val="008575E2"/>
    <w:rsid w:val="00857E35"/>
    <w:rsid w:val="00860A0E"/>
    <w:rsid w:val="00860D44"/>
    <w:rsid w:val="008614D6"/>
    <w:rsid w:val="0086305B"/>
    <w:rsid w:val="00863088"/>
    <w:rsid w:val="00863D56"/>
    <w:rsid w:val="008646BD"/>
    <w:rsid w:val="008653A1"/>
    <w:rsid w:val="00865A4B"/>
    <w:rsid w:val="00865E3B"/>
    <w:rsid w:val="008671F4"/>
    <w:rsid w:val="00867342"/>
    <w:rsid w:val="0086765D"/>
    <w:rsid w:val="0086769F"/>
    <w:rsid w:val="00871224"/>
    <w:rsid w:val="0087123F"/>
    <w:rsid w:val="00871C1C"/>
    <w:rsid w:val="008721E4"/>
    <w:rsid w:val="008738A3"/>
    <w:rsid w:val="00875169"/>
    <w:rsid w:val="0087516E"/>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6B8C"/>
    <w:rsid w:val="00887694"/>
    <w:rsid w:val="008878EB"/>
    <w:rsid w:val="00887DD3"/>
    <w:rsid w:val="00887FD4"/>
    <w:rsid w:val="0089066A"/>
    <w:rsid w:val="00891BDA"/>
    <w:rsid w:val="0089200B"/>
    <w:rsid w:val="0089367E"/>
    <w:rsid w:val="00893BE2"/>
    <w:rsid w:val="00894783"/>
    <w:rsid w:val="0089522F"/>
    <w:rsid w:val="0089650C"/>
    <w:rsid w:val="00896E23"/>
    <w:rsid w:val="0089740B"/>
    <w:rsid w:val="008976F5"/>
    <w:rsid w:val="00897AD7"/>
    <w:rsid w:val="008A0AC2"/>
    <w:rsid w:val="008A26DB"/>
    <w:rsid w:val="008A2800"/>
    <w:rsid w:val="008A3D67"/>
    <w:rsid w:val="008A4821"/>
    <w:rsid w:val="008A61CA"/>
    <w:rsid w:val="008A7184"/>
    <w:rsid w:val="008A7398"/>
    <w:rsid w:val="008B0038"/>
    <w:rsid w:val="008B02BD"/>
    <w:rsid w:val="008B04E3"/>
    <w:rsid w:val="008B06FF"/>
    <w:rsid w:val="008B0A36"/>
    <w:rsid w:val="008B1CD1"/>
    <w:rsid w:val="008B27AF"/>
    <w:rsid w:val="008B27F9"/>
    <w:rsid w:val="008B3011"/>
    <w:rsid w:val="008B3680"/>
    <w:rsid w:val="008B3700"/>
    <w:rsid w:val="008B3BD8"/>
    <w:rsid w:val="008B4918"/>
    <w:rsid w:val="008B4E1D"/>
    <w:rsid w:val="008B5C79"/>
    <w:rsid w:val="008B787D"/>
    <w:rsid w:val="008B792C"/>
    <w:rsid w:val="008C0BA7"/>
    <w:rsid w:val="008C0E1C"/>
    <w:rsid w:val="008C1D05"/>
    <w:rsid w:val="008C210D"/>
    <w:rsid w:val="008C23FF"/>
    <w:rsid w:val="008C2C53"/>
    <w:rsid w:val="008C2C83"/>
    <w:rsid w:val="008C2C96"/>
    <w:rsid w:val="008C2CCA"/>
    <w:rsid w:val="008C2FA8"/>
    <w:rsid w:val="008C4EFE"/>
    <w:rsid w:val="008C5A4A"/>
    <w:rsid w:val="008C7068"/>
    <w:rsid w:val="008C7E25"/>
    <w:rsid w:val="008D0598"/>
    <w:rsid w:val="008D0960"/>
    <w:rsid w:val="008D1013"/>
    <w:rsid w:val="008D24DE"/>
    <w:rsid w:val="008D29AE"/>
    <w:rsid w:val="008D2BFA"/>
    <w:rsid w:val="008D31FA"/>
    <w:rsid w:val="008D4275"/>
    <w:rsid w:val="008D47A2"/>
    <w:rsid w:val="008D50E8"/>
    <w:rsid w:val="008D72DD"/>
    <w:rsid w:val="008D7744"/>
    <w:rsid w:val="008D77BB"/>
    <w:rsid w:val="008D7E71"/>
    <w:rsid w:val="008E1827"/>
    <w:rsid w:val="008E245E"/>
    <w:rsid w:val="008E32F3"/>
    <w:rsid w:val="008E3728"/>
    <w:rsid w:val="008E37B5"/>
    <w:rsid w:val="008E3D82"/>
    <w:rsid w:val="008E5BF0"/>
    <w:rsid w:val="008E6549"/>
    <w:rsid w:val="008F012B"/>
    <w:rsid w:val="008F08BB"/>
    <w:rsid w:val="008F0DAD"/>
    <w:rsid w:val="008F1063"/>
    <w:rsid w:val="008F1627"/>
    <w:rsid w:val="008F1C82"/>
    <w:rsid w:val="008F2583"/>
    <w:rsid w:val="008F2F84"/>
    <w:rsid w:val="008F30E0"/>
    <w:rsid w:val="008F3C77"/>
    <w:rsid w:val="008F4405"/>
    <w:rsid w:val="008F4879"/>
    <w:rsid w:val="008F4FE8"/>
    <w:rsid w:val="008F5A2D"/>
    <w:rsid w:val="008F5E81"/>
    <w:rsid w:val="008F6063"/>
    <w:rsid w:val="008F62D4"/>
    <w:rsid w:val="008F6392"/>
    <w:rsid w:val="008F6894"/>
    <w:rsid w:val="008F7125"/>
    <w:rsid w:val="008F7D2C"/>
    <w:rsid w:val="00900AB0"/>
    <w:rsid w:val="00900F09"/>
    <w:rsid w:val="00901866"/>
    <w:rsid w:val="00901C43"/>
    <w:rsid w:val="0090298D"/>
    <w:rsid w:val="009030DC"/>
    <w:rsid w:val="009030FA"/>
    <w:rsid w:val="009035A0"/>
    <w:rsid w:val="00903652"/>
    <w:rsid w:val="00903A62"/>
    <w:rsid w:val="00904992"/>
    <w:rsid w:val="00907A3F"/>
    <w:rsid w:val="00907C51"/>
    <w:rsid w:val="00910076"/>
    <w:rsid w:val="00910443"/>
    <w:rsid w:val="0091137C"/>
    <w:rsid w:val="009122C4"/>
    <w:rsid w:val="0091265F"/>
    <w:rsid w:val="009129F8"/>
    <w:rsid w:val="00913660"/>
    <w:rsid w:val="00913C8F"/>
    <w:rsid w:val="00913F12"/>
    <w:rsid w:val="009155DA"/>
    <w:rsid w:val="00916BC6"/>
    <w:rsid w:val="00917304"/>
    <w:rsid w:val="0091758A"/>
    <w:rsid w:val="009175F9"/>
    <w:rsid w:val="00920A57"/>
    <w:rsid w:val="00920D99"/>
    <w:rsid w:val="00920F46"/>
    <w:rsid w:val="00920F97"/>
    <w:rsid w:val="00926066"/>
    <w:rsid w:val="00927378"/>
    <w:rsid w:val="00930322"/>
    <w:rsid w:val="00930BF8"/>
    <w:rsid w:val="009310DD"/>
    <w:rsid w:val="00931850"/>
    <w:rsid w:val="009320D4"/>
    <w:rsid w:val="0093288A"/>
    <w:rsid w:val="00932C26"/>
    <w:rsid w:val="0093366F"/>
    <w:rsid w:val="0093376D"/>
    <w:rsid w:val="00935CC8"/>
    <w:rsid w:val="009364A1"/>
    <w:rsid w:val="00936FB6"/>
    <w:rsid w:val="00937390"/>
    <w:rsid w:val="00937AE9"/>
    <w:rsid w:val="00937AFB"/>
    <w:rsid w:val="00940783"/>
    <w:rsid w:val="0094078A"/>
    <w:rsid w:val="00941756"/>
    <w:rsid w:val="00941B87"/>
    <w:rsid w:val="00941CC8"/>
    <w:rsid w:val="00942839"/>
    <w:rsid w:val="009429EF"/>
    <w:rsid w:val="00942DB0"/>
    <w:rsid w:val="00943055"/>
    <w:rsid w:val="00943519"/>
    <w:rsid w:val="00943D25"/>
    <w:rsid w:val="009442CD"/>
    <w:rsid w:val="00944719"/>
    <w:rsid w:val="00945153"/>
    <w:rsid w:val="009462F0"/>
    <w:rsid w:val="00947D60"/>
    <w:rsid w:val="009514D8"/>
    <w:rsid w:val="00951CA4"/>
    <w:rsid w:val="0095264F"/>
    <w:rsid w:val="00954E96"/>
    <w:rsid w:val="009557BF"/>
    <w:rsid w:val="00955839"/>
    <w:rsid w:val="00956C6B"/>
    <w:rsid w:val="00957444"/>
    <w:rsid w:val="00957650"/>
    <w:rsid w:val="00957772"/>
    <w:rsid w:val="009605A8"/>
    <w:rsid w:val="009607F5"/>
    <w:rsid w:val="00960B51"/>
    <w:rsid w:val="00960DDC"/>
    <w:rsid w:val="009620A2"/>
    <w:rsid w:val="009621B8"/>
    <w:rsid w:val="00962D0E"/>
    <w:rsid w:val="009633F2"/>
    <w:rsid w:val="0096538C"/>
    <w:rsid w:val="00965D70"/>
    <w:rsid w:val="009661C2"/>
    <w:rsid w:val="0096639D"/>
    <w:rsid w:val="00966AD4"/>
    <w:rsid w:val="009678BF"/>
    <w:rsid w:val="00970587"/>
    <w:rsid w:val="009706B2"/>
    <w:rsid w:val="00970BB2"/>
    <w:rsid w:val="00971003"/>
    <w:rsid w:val="0097255D"/>
    <w:rsid w:val="0097328E"/>
    <w:rsid w:val="0097341D"/>
    <w:rsid w:val="00973ABE"/>
    <w:rsid w:val="0097426D"/>
    <w:rsid w:val="00974EB7"/>
    <w:rsid w:val="00975287"/>
    <w:rsid w:val="00975E2C"/>
    <w:rsid w:val="00976146"/>
    <w:rsid w:val="00976E7D"/>
    <w:rsid w:val="0097708E"/>
    <w:rsid w:val="0097756D"/>
    <w:rsid w:val="009775D5"/>
    <w:rsid w:val="009802DF"/>
    <w:rsid w:val="009809B4"/>
    <w:rsid w:val="00980C42"/>
    <w:rsid w:val="00980D9C"/>
    <w:rsid w:val="00980EB3"/>
    <w:rsid w:val="009821D7"/>
    <w:rsid w:val="00982417"/>
    <w:rsid w:val="009825AC"/>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67D9"/>
    <w:rsid w:val="00996A74"/>
    <w:rsid w:val="00997535"/>
    <w:rsid w:val="00997AD7"/>
    <w:rsid w:val="00997B98"/>
    <w:rsid w:val="009A09BD"/>
    <w:rsid w:val="009A25FD"/>
    <w:rsid w:val="009A2625"/>
    <w:rsid w:val="009A3513"/>
    <w:rsid w:val="009A593A"/>
    <w:rsid w:val="009A65C0"/>
    <w:rsid w:val="009A669B"/>
    <w:rsid w:val="009A760D"/>
    <w:rsid w:val="009A7C3F"/>
    <w:rsid w:val="009B033E"/>
    <w:rsid w:val="009B0B27"/>
    <w:rsid w:val="009B13EB"/>
    <w:rsid w:val="009B1571"/>
    <w:rsid w:val="009B16C1"/>
    <w:rsid w:val="009B231E"/>
    <w:rsid w:val="009B2522"/>
    <w:rsid w:val="009B2E64"/>
    <w:rsid w:val="009B3E36"/>
    <w:rsid w:val="009B3FF9"/>
    <w:rsid w:val="009B49E4"/>
    <w:rsid w:val="009B5B0B"/>
    <w:rsid w:val="009B5F85"/>
    <w:rsid w:val="009B61E1"/>
    <w:rsid w:val="009B6A49"/>
    <w:rsid w:val="009C0259"/>
    <w:rsid w:val="009C29BA"/>
    <w:rsid w:val="009C3665"/>
    <w:rsid w:val="009C38B7"/>
    <w:rsid w:val="009C402B"/>
    <w:rsid w:val="009C4C73"/>
    <w:rsid w:val="009C5870"/>
    <w:rsid w:val="009C608C"/>
    <w:rsid w:val="009C6445"/>
    <w:rsid w:val="009C6812"/>
    <w:rsid w:val="009C6BF1"/>
    <w:rsid w:val="009C6D47"/>
    <w:rsid w:val="009C70F3"/>
    <w:rsid w:val="009C7818"/>
    <w:rsid w:val="009D01D4"/>
    <w:rsid w:val="009D065F"/>
    <w:rsid w:val="009D0A8D"/>
    <w:rsid w:val="009D1B05"/>
    <w:rsid w:val="009D1B90"/>
    <w:rsid w:val="009D424C"/>
    <w:rsid w:val="009D5177"/>
    <w:rsid w:val="009D676F"/>
    <w:rsid w:val="009D698D"/>
    <w:rsid w:val="009D70B9"/>
    <w:rsid w:val="009D7372"/>
    <w:rsid w:val="009D74EA"/>
    <w:rsid w:val="009D796F"/>
    <w:rsid w:val="009E029C"/>
    <w:rsid w:val="009E0EF0"/>
    <w:rsid w:val="009E0FD4"/>
    <w:rsid w:val="009E2A5E"/>
    <w:rsid w:val="009E48EB"/>
    <w:rsid w:val="009E5B9C"/>
    <w:rsid w:val="009E630B"/>
    <w:rsid w:val="009E641B"/>
    <w:rsid w:val="009E7205"/>
    <w:rsid w:val="009F0D23"/>
    <w:rsid w:val="009F130A"/>
    <w:rsid w:val="009F176D"/>
    <w:rsid w:val="009F2B65"/>
    <w:rsid w:val="009F367E"/>
    <w:rsid w:val="009F481F"/>
    <w:rsid w:val="009F52AC"/>
    <w:rsid w:val="009F53ED"/>
    <w:rsid w:val="00A000F7"/>
    <w:rsid w:val="00A00303"/>
    <w:rsid w:val="00A044CC"/>
    <w:rsid w:val="00A04575"/>
    <w:rsid w:val="00A04657"/>
    <w:rsid w:val="00A04BC4"/>
    <w:rsid w:val="00A0563E"/>
    <w:rsid w:val="00A05A72"/>
    <w:rsid w:val="00A06FBA"/>
    <w:rsid w:val="00A07B21"/>
    <w:rsid w:val="00A10129"/>
    <w:rsid w:val="00A105AF"/>
    <w:rsid w:val="00A10AA7"/>
    <w:rsid w:val="00A10E59"/>
    <w:rsid w:val="00A1103B"/>
    <w:rsid w:val="00A11F46"/>
    <w:rsid w:val="00A12423"/>
    <w:rsid w:val="00A12D9E"/>
    <w:rsid w:val="00A13987"/>
    <w:rsid w:val="00A139AA"/>
    <w:rsid w:val="00A14211"/>
    <w:rsid w:val="00A1476F"/>
    <w:rsid w:val="00A15942"/>
    <w:rsid w:val="00A16305"/>
    <w:rsid w:val="00A169FC"/>
    <w:rsid w:val="00A16D74"/>
    <w:rsid w:val="00A16F81"/>
    <w:rsid w:val="00A178C4"/>
    <w:rsid w:val="00A17924"/>
    <w:rsid w:val="00A17FEF"/>
    <w:rsid w:val="00A209CF"/>
    <w:rsid w:val="00A21778"/>
    <w:rsid w:val="00A21CB6"/>
    <w:rsid w:val="00A21D3B"/>
    <w:rsid w:val="00A22467"/>
    <w:rsid w:val="00A231C8"/>
    <w:rsid w:val="00A23930"/>
    <w:rsid w:val="00A23B5F"/>
    <w:rsid w:val="00A27471"/>
    <w:rsid w:val="00A27C01"/>
    <w:rsid w:val="00A27CEA"/>
    <w:rsid w:val="00A30306"/>
    <w:rsid w:val="00A30712"/>
    <w:rsid w:val="00A30B31"/>
    <w:rsid w:val="00A31AF9"/>
    <w:rsid w:val="00A32078"/>
    <w:rsid w:val="00A32ED4"/>
    <w:rsid w:val="00A35179"/>
    <w:rsid w:val="00A3558C"/>
    <w:rsid w:val="00A371DF"/>
    <w:rsid w:val="00A4084B"/>
    <w:rsid w:val="00A408DF"/>
    <w:rsid w:val="00A40A38"/>
    <w:rsid w:val="00A40E3F"/>
    <w:rsid w:val="00A41ECA"/>
    <w:rsid w:val="00A423F1"/>
    <w:rsid w:val="00A4298D"/>
    <w:rsid w:val="00A443EC"/>
    <w:rsid w:val="00A449E1"/>
    <w:rsid w:val="00A45A2D"/>
    <w:rsid w:val="00A507E2"/>
    <w:rsid w:val="00A50F55"/>
    <w:rsid w:val="00A5177E"/>
    <w:rsid w:val="00A51A96"/>
    <w:rsid w:val="00A53A35"/>
    <w:rsid w:val="00A53DFA"/>
    <w:rsid w:val="00A5417D"/>
    <w:rsid w:val="00A5430F"/>
    <w:rsid w:val="00A55DDE"/>
    <w:rsid w:val="00A56E9D"/>
    <w:rsid w:val="00A572FC"/>
    <w:rsid w:val="00A5752F"/>
    <w:rsid w:val="00A5776C"/>
    <w:rsid w:val="00A578F3"/>
    <w:rsid w:val="00A57A93"/>
    <w:rsid w:val="00A601B5"/>
    <w:rsid w:val="00A6026E"/>
    <w:rsid w:val="00A606E2"/>
    <w:rsid w:val="00A60B96"/>
    <w:rsid w:val="00A617F7"/>
    <w:rsid w:val="00A6241F"/>
    <w:rsid w:val="00A63016"/>
    <w:rsid w:val="00A63ABF"/>
    <w:rsid w:val="00A63D0C"/>
    <w:rsid w:val="00A63E46"/>
    <w:rsid w:val="00A63E93"/>
    <w:rsid w:val="00A643C8"/>
    <w:rsid w:val="00A647A0"/>
    <w:rsid w:val="00A65BEC"/>
    <w:rsid w:val="00A669CD"/>
    <w:rsid w:val="00A67D09"/>
    <w:rsid w:val="00A700C9"/>
    <w:rsid w:val="00A703F1"/>
    <w:rsid w:val="00A70FAB"/>
    <w:rsid w:val="00A71092"/>
    <w:rsid w:val="00A71440"/>
    <w:rsid w:val="00A71AD1"/>
    <w:rsid w:val="00A71D24"/>
    <w:rsid w:val="00A7200C"/>
    <w:rsid w:val="00A72940"/>
    <w:rsid w:val="00A72D49"/>
    <w:rsid w:val="00A73CFA"/>
    <w:rsid w:val="00A7450A"/>
    <w:rsid w:val="00A7453E"/>
    <w:rsid w:val="00A7499E"/>
    <w:rsid w:val="00A759E8"/>
    <w:rsid w:val="00A766DE"/>
    <w:rsid w:val="00A769D7"/>
    <w:rsid w:val="00A77593"/>
    <w:rsid w:val="00A778ED"/>
    <w:rsid w:val="00A80C0C"/>
    <w:rsid w:val="00A813D0"/>
    <w:rsid w:val="00A818B3"/>
    <w:rsid w:val="00A81D8E"/>
    <w:rsid w:val="00A81DE4"/>
    <w:rsid w:val="00A81FDA"/>
    <w:rsid w:val="00A83EFA"/>
    <w:rsid w:val="00A842EA"/>
    <w:rsid w:val="00A845D3"/>
    <w:rsid w:val="00A84AAF"/>
    <w:rsid w:val="00A84D03"/>
    <w:rsid w:val="00A84EC0"/>
    <w:rsid w:val="00A859E5"/>
    <w:rsid w:val="00A86397"/>
    <w:rsid w:val="00A86463"/>
    <w:rsid w:val="00A91E25"/>
    <w:rsid w:val="00A9278C"/>
    <w:rsid w:val="00A93150"/>
    <w:rsid w:val="00A95571"/>
    <w:rsid w:val="00A95E71"/>
    <w:rsid w:val="00A96015"/>
    <w:rsid w:val="00A970B0"/>
    <w:rsid w:val="00A972FE"/>
    <w:rsid w:val="00AA032A"/>
    <w:rsid w:val="00AA08E7"/>
    <w:rsid w:val="00AA09C5"/>
    <w:rsid w:val="00AA0C1D"/>
    <w:rsid w:val="00AA2AE8"/>
    <w:rsid w:val="00AA2CC1"/>
    <w:rsid w:val="00AA2CF7"/>
    <w:rsid w:val="00AA2EAD"/>
    <w:rsid w:val="00AA3769"/>
    <w:rsid w:val="00AA3AAA"/>
    <w:rsid w:val="00AA406D"/>
    <w:rsid w:val="00AA4107"/>
    <w:rsid w:val="00AA4BC0"/>
    <w:rsid w:val="00AA4FA9"/>
    <w:rsid w:val="00AA5307"/>
    <w:rsid w:val="00AA5449"/>
    <w:rsid w:val="00AA5577"/>
    <w:rsid w:val="00AA58DF"/>
    <w:rsid w:val="00AA76FB"/>
    <w:rsid w:val="00AA79FE"/>
    <w:rsid w:val="00AA7ECA"/>
    <w:rsid w:val="00AA7F54"/>
    <w:rsid w:val="00AB0547"/>
    <w:rsid w:val="00AB09E9"/>
    <w:rsid w:val="00AB0A74"/>
    <w:rsid w:val="00AB0DCD"/>
    <w:rsid w:val="00AB1485"/>
    <w:rsid w:val="00AB1A92"/>
    <w:rsid w:val="00AB1E95"/>
    <w:rsid w:val="00AB1FE3"/>
    <w:rsid w:val="00AB2868"/>
    <w:rsid w:val="00AB2891"/>
    <w:rsid w:val="00AB536C"/>
    <w:rsid w:val="00AB5399"/>
    <w:rsid w:val="00AB55D2"/>
    <w:rsid w:val="00AB6697"/>
    <w:rsid w:val="00AB6BFE"/>
    <w:rsid w:val="00AB7F76"/>
    <w:rsid w:val="00AC0D5A"/>
    <w:rsid w:val="00AC0DF7"/>
    <w:rsid w:val="00AC0E38"/>
    <w:rsid w:val="00AC0E6C"/>
    <w:rsid w:val="00AC11AD"/>
    <w:rsid w:val="00AC15C3"/>
    <w:rsid w:val="00AC2DD9"/>
    <w:rsid w:val="00AC467A"/>
    <w:rsid w:val="00AC4ABE"/>
    <w:rsid w:val="00AC4FAC"/>
    <w:rsid w:val="00AC6187"/>
    <w:rsid w:val="00AC6630"/>
    <w:rsid w:val="00AC7A5C"/>
    <w:rsid w:val="00AD0551"/>
    <w:rsid w:val="00AD16F4"/>
    <w:rsid w:val="00AD17C6"/>
    <w:rsid w:val="00AD32EE"/>
    <w:rsid w:val="00AD41C1"/>
    <w:rsid w:val="00AD4F68"/>
    <w:rsid w:val="00AD615E"/>
    <w:rsid w:val="00AD71C1"/>
    <w:rsid w:val="00AD7D39"/>
    <w:rsid w:val="00AD7FAE"/>
    <w:rsid w:val="00AE0240"/>
    <w:rsid w:val="00AE035B"/>
    <w:rsid w:val="00AE085D"/>
    <w:rsid w:val="00AE0F66"/>
    <w:rsid w:val="00AE1339"/>
    <w:rsid w:val="00AE19B0"/>
    <w:rsid w:val="00AE220A"/>
    <w:rsid w:val="00AE2225"/>
    <w:rsid w:val="00AE44DD"/>
    <w:rsid w:val="00AE4757"/>
    <w:rsid w:val="00AE5485"/>
    <w:rsid w:val="00AE6ED7"/>
    <w:rsid w:val="00AE76F7"/>
    <w:rsid w:val="00AF0919"/>
    <w:rsid w:val="00AF14FF"/>
    <w:rsid w:val="00AF23FF"/>
    <w:rsid w:val="00AF2521"/>
    <w:rsid w:val="00AF260E"/>
    <w:rsid w:val="00AF3D2E"/>
    <w:rsid w:val="00AF478D"/>
    <w:rsid w:val="00AF498B"/>
    <w:rsid w:val="00AF54DB"/>
    <w:rsid w:val="00B00539"/>
    <w:rsid w:val="00B0071F"/>
    <w:rsid w:val="00B01037"/>
    <w:rsid w:val="00B020A4"/>
    <w:rsid w:val="00B02443"/>
    <w:rsid w:val="00B027A3"/>
    <w:rsid w:val="00B029F7"/>
    <w:rsid w:val="00B02D31"/>
    <w:rsid w:val="00B034C1"/>
    <w:rsid w:val="00B03639"/>
    <w:rsid w:val="00B03C14"/>
    <w:rsid w:val="00B03F69"/>
    <w:rsid w:val="00B04587"/>
    <w:rsid w:val="00B045AA"/>
    <w:rsid w:val="00B06521"/>
    <w:rsid w:val="00B06FC2"/>
    <w:rsid w:val="00B07AF7"/>
    <w:rsid w:val="00B07CE2"/>
    <w:rsid w:val="00B10142"/>
    <w:rsid w:val="00B102C2"/>
    <w:rsid w:val="00B10B38"/>
    <w:rsid w:val="00B10DA4"/>
    <w:rsid w:val="00B11117"/>
    <w:rsid w:val="00B12918"/>
    <w:rsid w:val="00B1345D"/>
    <w:rsid w:val="00B14430"/>
    <w:rsid w:val="00B14B72"/>
    <w:rsid w:val="00B15B8A"/>
    <w:rsid w:val="00B20303"/>
    <w:rsid w:val="00B22466"/>
    <w:rsid w:val="00B226C9"/>
    <w:rsid w:val="00B237D2"/>
    <w:rsid w:val="00B2466D"/>
    <w:rsid w:val="00B24D30"/>
    <w:rsid w:val="00B25BCC"/>
    <w:rsid w:val="00B26C48"/>
    <w:rsid w:val="00B27947"/>
    <w:rsid w:val="00B27A68"/>
    <w:rsid w:val="00B27BC6"/>
    <w:rsid w:val="00B27FCA"/>
    <w:rsid w:val="00B3022C"/>
    <w:rsid w:val="00B31819"/>
    <w:rsid w:val="00B31937"/>
    <w:rsid w:val="00B32087"/>
    <w:rsid w:val="00B32F48"/>
    <w:rsid w:val="00B341B1"/>
    <w:rsid w:val="00B36093"/>
    <w:rsid w:val="00B3633F"/>
    <w:rsid w:val="00B36455"/>
    <w:rsid w:val="00B36AD3"/>
    <w:rsid w:val="00B373F3"/>
    <w:rsid w:val="00B4016A"/>
    <w:rsid w:val="00B4045A"/>
    <w:rsid w:val="00B404DA"/>
    <w:rsid w:val="00B409A6"/>
    <w:rsid w:val="00B40B93"/>
    <w:rsid w:val="00B41465"/>
    <w:rsid w:val="00B4165F"/>
    <w:rsid w:val="00B4166D"/>
    <w:rsid w:val="00B42458"/>
    <w:rsid w:val="00B430E3"/>
    <w:rsid w:val="00B43540"/>
    <w:rsid w:val="00B4453B"/>
    <w:rsid w:val="00B4481A"/>
    <w:rsid w:val="00B451DC"/>
    <w:rsid w:val="00B4578E"/>
    <w:rsid w:val="00B461EC"/>
    <w:rsid w:val="00B465E7"/>
    <w:rsid w:val="00B46653"/>
    <w:rsid w:val="00B46989"/>
    <w:rsid w:val="00B46AE8"/>
    <w:rsid w:val="00B46D69"/>
    <w:rsid w:val="00B47E12"/>
    <w:rsid w:val="00B47E83"/>
    <w:rsid w:val="00B47EC9"/>
    <w:rsid w:val="00B50092"/>
    <w:rsid w:val="00B50A03"/>
    <w:rsid w:val="00B5129A"/>
    <w:rsid w:val="00B51F54"/>
    <w:rsid w:val="00B52055"/>
    <w:rsid w:val="00B5212D"/>
    <w:rsid w:val="00B52565"/>
    <w:rsid w:val="00B532AB"/>
    <w:rsid w:val="00B5369D"/>
    <w:rsid w:val="00B53C33"/>
    <w:rsid w:val="00B53DAE"/>
    <w:rsid w:val="00B5523D"/>
    <w:rsid w:val="00B554DF"/>
    <w:rsid w:val="00B567B9"/>
    <w:rsid w:val="00B56A71"/>
    <w:rsid w:val="00B57562"/>
    <w:rsid w:val="00B600CA"/>
    <w:rsid w:val="00B6047C"/>
    <w:rsid w:val="00B60BED"/>
    <w:rsid w:val="00B6129D"/>
    <w:rsid w:val="00B614E6"/>
    <w:rsid w:val="00B61D25"/>
    <w:rsid w:val="00B62624"/>
    <w:rsid w:val="00B62A79"/>
    <w:rsid w:val="00B636DF"/>
    <w:rsid w:val="00B638C0"/>
    <w:rsid w:val="00B64F1F"/>
    <w:rsid w:val="00B65612"/>
    <w:rsid w:val="00B66B0E"/>
    <w:rsid w:val="00B67D72"/>
    <w:rsid w:val="00B7157A"/>
    <w:rsid w:val="00B715AA"/>
    <w:rsid w:val="00B71650"/>
    <w:rsid w:val="00B72E4A"/>
    <w:rsid w:val="00B73E2A"/>
    <w:rsid w:val="00B743FE"/>
    <w:rsid w:val="00B753A1"/>
    <w:rsid w:val="00B76181"/>
    <w:rsid w:val="00B76DED"/>
    <w:rsid w:val="00B76ED4"/>
    <w:rsid w:val="00B777AB"/>
    <w:rsid w:val="00B80926"/>
    <w:rsid w:val="00B8149C"/>
    <w:rsid w:val="00B819A3"/>
    <w:rsid w:val="00B81A1C"/>
    <w:rsid w:val="00B828C3"/>
    <w:rsid w:val="00B82B94"/>
    <w:rsid w:val="00B82BA2"/>
    <w:rsid w:val="00B83EAB"/>
    <w:rsid w:val="00B83F00"/>
    <w:rsid w:val="00B84446"/>
    <w:rsid w:val="00B84EAC"/>
    <w:rsid w:val="00B8597C"/>
    <w:rsid w:val="00B85D8D"/>
    <w:rsid w:val="00B86245"/>
    <w:rsid w:val="00B86560"/>
    <w:rsid w:val="00B86717"/>
    <w:rsid w:val="00B87BE5"/>
    <w:rsid w:val="00B90584"/>
    <w:rsid w:val="00B91413"/>
    <w:rsid w:val="00B93465"/>
    <w:rsid w:val="00B942C0"/>
    <w:rsid w:val="00B94586"/>
    <w:rsid w:val="00B948B2"/>
    <w:rsid w:val="00B96010"/>
    <w:rsid w:val="00B9654E"/>
    <w:rsid w:val="00B974FA"/>
    <w:rsid w:val="00BA0215"/>
    <w:rsid w:val="00BA03E6"/>
    <w:rsid w:val="00BA102A"/>
    <w:rsid w:val="00BA1835"/>
    <w:rsid w:val="00BA2161"/>
    <w:rsid w:val="00BA448D"/>
    <w:rsid w:val="00BA4C4B"/>
    <w:rsid w:val="00BA5614"/>
    <w:rsid w:val="00BA6554"/>
    <w:rsid w:val="00BA6B8F"/>
    <w:rsid w:val="00BA6F03"/>
    <w:rsid w:val="00BB061B"/>
    <w:rsid w:val="00BB0A2A"/>
    <w:rsid w:val="00BB0C5B"/>
    <w:rsid w:val="00BB102F"/>
    <w:rsid w:val="00BB108F"/>
    <w:rsid w:val="00BB1672"/>
    <w:rsid w:val="00BB1F54"/>
    <w:rsid w:val="00BB1F7A"/>
    <w:rsid w:val="00BB5025"/>
    <w:rsid w:val="00BC0236"/>
    <w:rsid w:val="00BC1676"/>
    <w:rsid w:val="00BC1B99"/>
    <w:rsid w:val="00BC220A"/>
    <w:rsid w:val="00BC23E7"/>
    <w:rsid w:val="00BC2BE2"/>
    <w:rsid w:val="00BC3645"/>
    <w:rsid w:val="00BC4730"/>
    <w:rsid w:val="00BC51BC"/>
    <w:rsid w:val="00BC5767"/>
    <w:rsid w:val="00BC5799"/>
    <w:rsid w:val="00BC6681"/>
    <w:rsid w:val="00BC7546"/>
    <w:rsid w:val="00BC7789"/>
    <w:rsid w:val="00BC7D00"/>
    <w:rsid w:val="00BD02A6"/>
    <w:rsid w:val="00BD0CE1"/>
    <w:rsid w:val="00BD120B"/>
    <w:rsid w:val="00BD1FE7"/>
    <w:rsid w:val="00BD2148"/>
    <w:rsid w:val="00BD25F4"/>
    <w:rsid w:val="00BD292A"/>
    <w:rsid w:val="00BD29B8"/>
    <w:rsid w:val="00BD2CB4"/>
    <w:rsid w:val="00BD3F9E"/>
    <w:rsid w:val="00BD401A"/>
    <w:rsid w:val="00BD538B"/>
    <w:rsid w:val="00BD6861"/>
    <w:rsid w:val="00BD6D43"/>
    <w:rsid w:val="00BD6E58"/>
    <w:rsid w:val="00BD707E"/>
    <w:rsid w:val="00BD7689"/>
    <w:rsid w:val="00BD7A42"/>
    <w:rsid w:val="00BE1681"/>
    <w:rsid w:val="00BE19E9"/>
    <w:rsid w:val="00BE1C49"/>
    <w:rsid w:val="00BE238F"/>
    <w:rsid w:val="00BE298A"/>
    <w:rsid w:val="00BE2A51"/>
    <w:rsid w:val="00BE39C2"/>
    <w:rsid w:val="00BE3AAB"/>
    <w:rsid w:val="00BE45F5"/>
    <w:rsid w:val="00BE4628"/>
    <w:rsid w:val="00BE49EF"/>
    <w:rsid w:val="00BE5B65"/>
    <w:rsid w:val="00BE6491"/>
    <w:rsid w:val="00BE6D81"/>
    <w:rsid w:val="00BE6FEF"/>
    <w:rsid w:val="00BF09E7"/>
    <w:rsid w:val="00BF2553"/>
    <w:rsid w:val="00BF3D49"/>
    <w:rsid w:val="00BF4380"/>
    <w:rsid w:val="00BF635A"/>
    <w:rsid w:val="00BF67D2"/>
    <w:rsid w:val="00C00901"/>
    <w:rsid w:val="00C01002"/>
    <w:rsid w:val="00C017AE"/>
    <w:rsid w:val="00C01E37"/>
    <w:rsid w:val="00C02A7C"/>
    <w:rsid w:val="00C02DD0"/>
    <w:rsid w:val="00C03CF9"/>
    <w:rsid w:val="00C03F7D"/>
    <w:rsid w:val="00C04E63"/>
    <w:rsid w:val="00C0544A"/>
    <w:rsid w:val="00C06C27"/>
    <w:rsid w:val="00C06F4A"/>
    <w:rsid w:val="00C1070F"/>
    <w:rsid w:val="00C10E33"/>
    <w:rsid w:val="00C11ADC"/>
    <w:rsid w:val="00C11C9D"/>
    <w:rsid w:val="00C1407E"/>
    <w:rsid w:val="00C14550"/>
    <w:rsid w:val="00C15370"/>
    <w:rsid w:val="00C1575F"/>
    <w:rsid w:val="00C158C7"/>
    <w:rsid w:val="00C15BBB"/>
    <w:rsid w:val="00C161B5"/>
    <w:rsid w:val="00C203FA"/>
    <w:rsid w:val="00C20A5B"/>
    <w:rsid w:val="00C20D36"/>
    <w:rsid w:val="00C21035"/>
    <w:rsid w:val="00C21C0A"/>
    <w:rsid w:val="00C22081"/>
    <w:rsid w:val="00C22768"/>
    <w:rsid w:val="00C22784"/>
    <w:rsid w:val="00C22B16"/>
    <w:rsid w:val="00C2338D"/>
    <w:rsid w:val="00C23576"/>
    <w:rsid w:val="00C2391F"/>
    <w:rsid w:val="00C241C8"/>
    <w:rsid w:val="00C249FF"/>
    <w:rsid w:val="00C24AC0"/>
    <w:rsid w:val="00C2567E"/>
    <w:rsid w:val="00C25FF8"/>
    <w:rsid w:val="00C26638"/>
    <w:rsid w:val="00C302D8"/>
    <w:rsid w:val="00C307D6"/>
    <w:rsid w:val="00C30F86"/>
    <w:rsid w:val="00C31A05"/>
    <w:rsid w:val="00C329BC"/>
    <w:rsid w:val="00C32FAB"/>
    <w:rsid w:val="00C33587"/>
    <w:rsid w:val="00C340AA"/>
    <w:rsid w:val="00C34470"/>
    <w:rsid w:val="00C34519"/>
    <w:rsid w:val="00C36297"/>
    <w:rsid w:val="00C368C5"/>
    <w:rsid w:val="00C36C62"/>
    <w:rsid w:val="00C36E3B"/>
    <w:rsid w:val="00C36EC8"/>
    <w:rsid w:val="00C36FE2"/>
    <w:rsid w:val="00C37A77"/>
    <w:rsid w:val="00C37DD9"/>
    <w:rsid w:val="00C404FC"/>
    <w:rsid w:val="00C4132B"/>
    <w:rsid w:val="00C418C8"/>
    <w:rsid w:val="00C41BE6"/>
    <w:rsid w:val="00C421EA"/>
    <w:rsid w:val="00C422E0"/>
    <w:rsid w:val="00C4299A"/>
    <w:rsid w:val="00C42F56"/>
    <w:rsid w:val="00C446D3"/>
    <w:rsid w:val="00C45043"/>
    <w:rsid w:val="00C46174"/>
    <w:rsid w:val="00C4650C"/>
    <w:rsid w:val="00C47184"/>
    <w:rsid w:val="00C47DB5"/>
    <w:rsid w:val="00C47EE7"/>
    <w:rsid w:val="00C503FC"/>
    <w:rsid w:val="00C50CA2"/>
    <w:rsid w:val="00C51369"/>
    <w:rsid w:val="00C51728"/>
    <w:rsid w:val="00C51757"/>
    <w:rsid w:val="00C520BB"/>
    <w:rsid w:val="00C522FE"/>
    <w:rsid w:val="00C52985"/>
    <w:rsid w:val="00C545F7"/>
    <w:rsid w:val="00C548E4"/>
    <w:rsid w:val="00C55A2A"/>
    <w:rsid w:val="00C55AA6"/>
    <w:rsid w:val="00C55FC3"/>
    <w:rsid w:val="00C565F2"/>
    <w:rsid w:val="00C56BE3"/>
    <w:rsid w:val="00C5774E"/>
    <w:rsid w:val="00C60BD3"/>
    <w:rsid w:val="00C60BE8"/>
    <w:rsid w:val="00C62575"/>
    <w:rsid w:val="00C6319D"/>
    <w:rsid w:val="00C636ED"/>
    <w:rsid w:val="00C64A61"/>
    <w:rsid w:val="00C64BD2"/>
    <w:rsid w:val="00C65B3A"/>
    <w:rsid w:val="00C67B59"/>
    <w:rsid w:val="00C704C4"/>
    <w:rsid w:val="00C704E1"/>
    <w:rsid w:val="00C70881"/>
    <w:rsid w:val="00C70EE9"/>
    <w:rsid w:val="00C71E82"/>
    <w:rsid w:val="00C72489"/>
    <w:rsid w:val="00C742B7"/>
    <w:rsid w:val="00C7450C"/>
    <w:rsid w:val="00C74935"/>
    <w:rsid w:val="00C75B50"/>
    <w:rsid w:val="00C76406"/>
    <w:rsid w:val="00C766EF"/>
    <w:rsid w:val="00C7679E"/>
    <w:rsid w:val="00C7686D"/>
    <w:rsid w:val="00C76F0B"/>
    <w:rsid w:val="00C81588"/>
    <w:rsid w:val="00C81E2F"/>
    <w:rsid w:val="00C82394"/>
    <w:rsid w:val="00C830C0"/>
    <w:rsid w:val="00C8396A"/>
    <w:rsid w:val="00C84B80"/>
    <w:rsid w:val="00C856F6"/>
    <w:rsid w:val="00C87E27"/>
    <w:rsid w:val="00C87E3E"/>
    <w:rsid w:val="00C901EB"/>
    <w:rsid w:val="00C919DF"/>
    <w:rsid w:val="00C91B0D"/>
    <w:rsid w:val="00C92CDF"/>
    <w:rsid w:val="00C946ED"/>
    <w:rsid w:val="00C948C2"/>
    <w:rsid w:val="00C94AAE"/>
    <w:rsid w:val="00C94C5D"/>
    <w:rsid w:val="00C95024"/>
    <w:rsid w:val="00C95F2E"/>
    <w:rsid w:val="00C9625F"/>
    <w:rsid w:val="00C97707"/>
    <w:rsid w:val="00C97B69"/>
    <w:rsid w:val="00C97E6A"/>
    <w:rsid w:val="00CA0305"/>
    <w:rsid w:val="00CA0B72"/>
    <w:rsid w:val="00CA0E14"/>
    <w:rsid w:val="00CA118C"/>
    <w:rsid w:val="00CA1FC7"/>
    <w:rsid w:val="00CA1FF9"/>
    <w:rsid w:val="00CA26A7"/>
    <w:rsid w:val="00CA3F27"/>
    <w:rsid w:val="00CA649C"/>
    <w:rsid w:val="00CA7369"/>
    <w:rsid w:val="00CA7D8B"/>
    <w:rsid w:val="00CB04CC"/>
    <w:rsid w:val="00CB0791"/>
    <w:rsid w:val="00CB0A52"/>
    <w:rsid w:val="00CB18B4"/>
    <w:rsid w:val="00CB2B0D"/>
    <w:rsid w:val="00CB2F70"/>
    <w:rsid w:val="00CB3637"/>
    <w:rsid w:val="00CB3A4F"/>
    <w:rsid w:val="00CB4E64"/>
    <w:rsid w:val="00CB527C"/>
    <w:rsid w:val="00CB66B0"/>
    <w:rsid w:val="00CB6EFC"/>
    <w:rsid w:val="00CC0338"/>
    <w:rsid w:val="00CC0490"/>
    <w:rsid w:val="00CC07AE"/>
    <w:rsid w:val="00CC0C4B"/>
    <w:rsid w:val="00CC11BB"/>
    <w:rsid w:val="00CC20FC"/>
    <w:rsid w:val="00CC2395"/>
    <w:rsid w:val="00CC271A"/>
    <w:rsid w:val="00CC3105"/>
    <w:rsid w:val="00CC3719"/>
    <w:rsid w:val="00CC4C11"/>
    <w:rsid w:val="00CC5382"/>
    <w:rsid w:val="00CC56D5"/>
    <w:rsid w:val="00CC5D5B"/>
    <w:rsid w:val="00CC5F85"/>
    <w:rsid w:val="00CC639C"/>
    <w:rsid w:val="00CC6F59"/>
    <w:rsid w:val="00CC7263"/>
    <w:rsid w:val="00CD00CA"/>
    <w:rsid w:val="00CD0BD3"/>
    <w:rsid w:val="00CD0BDE"/>
    <w:rsid w:val="00CD18EC"/>
    <w:rsid w:val="00CD1F66"/>
    <w:rsid w:val="00CD2CDA"/>
    <w:rsid w:val="00CD323B"/>
    <w:rsid w:val="00CD4506"/>
    <w:rsid w:val="00CD5ADD"/>
    <w:rsid w:val="00CD6B11"/>
    <w:rsid w:val="00CD70A0"/>
    <w:rsid w:val="00CD7C99"/>
    <w:rsid w:val="00CD7D7A"/>
    <w:rsid w:val="00CD7FD6"/>
    <w:rsid w:val="00CE0C22"/>
    <w:rsid w:val="00CE1491"/>
    <w:rsid w:val="00CE1858"/>
    <w:rsid w:val="00CE1C25"/>
    <w:rsid w:val="00CE1E20"/>
    <w:rsid w:val="00CE27D6"/>
    <w:rsid w:val="00CE28A4"/>
    <w:rsid w:val="00CE2F61"/>
    <w:rsid w:val="00CE42E1"/>
    <w:rsid w:val="00CE4809"/>
    <w:rsid w:val="00CE51F2"/>
    <w:rsid w:val="00CE57CB"/>
    <w:rsid w:val="00CE59FB"/>
    <w:rsid w:val="00CE6769"/>
    <w:rsid w:val="00CE6DBF"/>
    <w:rsid w:val="00CE711F"/>
    <w:rsid w:val="00CF0AC4"/>
    <w:rsid w:val="00CF1287"/>
    <w:rsid w:val="00CF162C"/>
    <w:rsid w:val="00CF295A"/>
    <w:rsid w:val="00CF2B52"/>
    <w:rsid w:val="00CF2DCB"/>
    <w:rsid w:val="00CF2FF5"/>
    <w:rsid w:val="00CF3186"/>
    <w:rsid w:val="00CF42C8"/>
    <w:rsid w:val="00CF4E6F"/>
    <w:rsid w:val="00CF5521"/>
    <w:rsid w:val="00CF61C8"/>
    <w:rsid w:val="00CF67CA"/>
    <w:rsid w:val="00CF6800"/>
    <w:rsid w:val="00CF7D7D"/>
    <w:rsid w:val="00D0010F"/>
    <w:rsid w:val="00D002F4"/>
    <w:rsid w:val="00D0049A"/>
    <w:rsid w:val="00D005B3"/>
    <w:rsid w:val="00D0096C"/>
    <w:rsid w:val="00D02169"/>
    <w:rsid w:val="00D022E1"/>
    <w:rsid w:val="00D023D2"/>
    <w:rsid w:val="00D0285B"/>
    <w:rsid w:val="00D028AF"/>
    <w:rsid w:val="00D02E8B"/>
    <w:rsid w:val="00D0356D"/>
    <w:rsid w:val="00D043CD"/>
    <w:rsid w:val="00D04633"/>
    <w:rsid w:val="00D04B39"/>
    <w:rsid w:val="00D05689"/>
    <w:rsid w:val="00D05F22"/>
    <w:rsid w:val="00D06A5D"/>
    <w:rsid w:val="00D07637"/>
    <w:rsid w:val="00D07A5A"/>
    <w:rsid w:val="00D10016"/>
    <w:rsid w:val="00D10115"/>
    <w:rsid w:val="00D1016F"/>
    <w:rsid w:val="00D109BC"/>
    <w:rsid w:val="00D10DE1"/>
    <w:rsid w:val="00D12A30"/>
    <w:rsid w:val="00D13B09"/>
    <w:rsid w:val="00D13B4E"/>
    <w:rsid w:val="00D14287"/>
    <w:rsid w:val="00D146D4"/>
    <w:rsid w:val="00D14881"/>
    <w:rsid w:val="00D14889"/>
    <w:rsid w:val="00D15522"/>
    <w:rsid w:val="00D15609"/>
    <w:rsid w:val="00D15A79"/>
    <w:rsid w:val="00D15CE7"/>
    <w:rsid w:val="00D15E1A"/>
    <w:rsid w:val="00D1616B"/>
    <w:rsid w:val="00D17795"/>
    <w:rsid w:val="00D20699"/>
    <w:rsid w:val="00D20A75"/>
    <w:rsid w:val="00D21FB9"/>
    <w:rsid w:val="00D2226F"/>
    <w:rsid w:val="00D22A0F"/>
    <w:rsid w:val="00D2393D"/>
    <w:rsid w:val="00D23AAD"/>
    <w:rsid w:val="00D23E21"/>
    <w:rsid w:val="00D241FB"/>
    <w:rsid w:val="00D2447B"/>
    <w:rsid w:val="00D24582"/>
    <w:rsid w:val="00D251B1"/>
    <w:rsid w:val="00D25D94"/>
    <w:rsid w:val="00D268DF"/>
    <w:rsid w:val="00D27E86"/>
    <w:rsid w:val="00D30188"/>
    <w:rsid w:val="00D308B5"/>
    <w:rsid w:val="00D30DAF"/>
    <w:rsid w:val="00D30E52"/>
    <w:rsid w:val="00D31BE9"/>
    <w:rsid w:val="00D325D3"/>
    <w:rsid w:val="00D335D6"/>
    <w:rsid w:val="00D33743"/>
    <w:rsid w:val="00D33B73"/>
    <w:rsid w:val="00D340C7"/>
    <w:rsid w:val="00D343DB"/>
    <w:rsid w:val="00D34497"/>
    <w:rsid w:val="00D3508F"/>
    <w:rsid w:val="00D35816"/>
    <w:rsid w:val="00D35861"/>
    <w:rsid w:val="00D3644A"/>
    <w:rsid w:val="00D36953"/>
    <w:rsid w:val="00D374A8"/>
    <w:rsid w:val="00D374E2"/>
    <w:rsid w:val="00D37AF1"/>
    <w:rsid w:val="00D37E08"/>
    <w:rsid w:val="00D40634"/>
    <w:rsid w:val="00D407CB"/>
    <w:rsid w:val="00D413C3"/>
    <w:rsid w:val="00D41A15"/>
    <w:rsid w:val="00D41D7B"/>
    <w:rsid w:val="00D42A78"/>
    <w:rsid w:val="00D43420"/>
    <w:rsid w:val="00D43BB7"/>
    <w:rsid w:val="00D43CB1"/>
    <w:rsid w:val="00D43E30"/>
    <w:rsid w:val="00D444BB"/>
    <w:rsid w:val="00D445A3"/>
    <w:rsid w:val="00D44DE7"/>
    <w:rsid w:val="00D46642"/>
    <w:rsid w:val="00D46693"/>
    <w:rsid w:val="00D46776"/>
    <w:rsid w:val="00D470D3"/>
    <w:rsid w:val="00D4714B"/>
    <w:rsid w:val="00D47292"/>
    <w:rsid w:val="00D47341"/>
    <w:rsid w:val="00D47776"/>
    <w:rsid w:val="00D478AE"/>
    <w:rsid w:val="00D47DC2"/>
    <w:rsid w:val="00D50D71"/>
    <w:rsid w:val="00D51968"/>
    <w:rsid w:val="00D51A59"/>
    <w:rsid w:val="00D51B63"/>
    <w:rsid w:val="00D51FD5"/>
    <w:rsid w:val="00D522E2"/>
    <w:rsid w:val="00D54187"/>
    <w:rsid w:val="00D54871"/>
    <w:rsid w:val="00D55563"/>
    <w:rsid w:val="00D560AD"/>
    <w:rsid w:val="00D574D1"/>
    <w:rsid w:val="00D5782F"/>
    <w:rsid w:val="00D60F97"/>
    <w:rsid w:val="00D6166B"/>
    <w:rsid w:val="00D61739"/>
    <w:rsid w:val="00D62108"/>
    <w:rsid w:val="00D62EDD"/>
    <w:rsid w:val="00D63872"/>
    <w:rsid w:val="00D63AA3"/>
    <w:rsid w:val="00D6406E"/>
    <w:rsid w:val="00D6421E"/>
    <w:rsid w:val="00D642C7"/>
    <w:rsid w:val="00D64E40"/>
    <w:rsid w:val="00D64F2C"/>
    <w:rsid w:val="00D651AF"/>
    <w:rsid w:val="00D6563E"/>
    <w:rsid w:val="00D66147"/>
    <w:rsid w:val="00D662AB"/>
    <w:rsid w:val="00D671C2"/>
    <w:rsid w:val="00D700B4"/>
    <w:rsid w:val="00D702C7"/>
    <w:rsid w:val="00D7043F"/>
    <w:rsid w:val="00D70A13"/>
    <w:rsid w:val="00D70BF3"/>
    <w:rsid w:val="00D70DDE"/>
    <w:rsid w:val="00D7117F"/>
    <w:rsid w:val="00D72ADD"/>
    <w:rsid w:val="00D72C18"/>
    <w:rsid w:val="00D73EB0"/>
    <w:rsid w:val="00D74BB3"/>
    <w:rsid w:val="00D75055"/>
    <w:rsid w:val="00D75856"/>
    <w:rsid w:val="00D766B6"/>
    <w:rsid w:val="00D769F7"/>
    <w:rsid w:val="00D76FCB"/>
    <w:rsid w:val="00D77967"/>
    <w:rsid w:val="00D77CA8"/>
    <w:rsid w:val="00D80719"/>
    <w:rsid w:val="00D8098F"/>
    <w:rsid w:val="00D81C18"/>
    <w:rsid w:val="00D82746"/>
    <w:rsid w:val="00D841E4"/>
    <w:rsid w:val="00D849DD"/>
    <w:rsid w:val="00D84C91"/>
    <w:rsid w:val="00D853BF"/>
    <w:rsid w:val="00D859D9"/>
    <w:rsid w:val="00D85CA9"/>
    <w:rsid w:val="00D85E4E"/>
    <w:rsid w:val="00D8764D"/>
    <w:rsid w:val="00D87DD7"/>
    <w:rsid w:val="00D91584"/>
    <w:rsid w:val="00D94185"/>
    <w:rsid w:val="00D9465C"/>
    <w:rsid w:val="00D9502C"/>
    <w:rsid w:val="00D959A9"/>
    <w:rsid w:val="00D96C9F"/>
    <w:rsid w:val="00D96D20"/>
    <w:rsid w:val="00DA1A9C"/>
    <w:rsid w:val="00DA2E40"/>
    <w:rsid w:val="00DA2ED0"/>
    <w:rsid w:val="00DA36A6"/>
    <w:rsid w:val="00DA4A3E"/>
    <w:rsid w:val="00DA4F68"/>
    <w:rsid w:val="00DA54EC"/>
    <w:rsid w:val="00DA5BF2"/>
    <w:rsid w:val="00DA6090"/>
    <w:rsid w:val="00DB023E"/>
    <w:rsid w:val="00DB046A"/>
    <w:rsid w:val="00DB05F7"/>
    <w:rsid w:val="00DB0778"/>
    <w:rsid w:val="00DB1CC6"/>
    <w:rsid w:val="00DB2C6B"/>
    <w:rsid w:val="00DB34FC"/>
    <w:rsid w:val="00DB6B2F"/>
    <w:rsid w:val="00DB783D"/>
    <w:rsid w:val="00DC0038"/>
    <w:rsid w:val="00DC021C"/>
    <w:rsid w:val="00DC0FB0"/>
    <w:rsid w:val="00DC1CF5"/>
    <w:rsid w:val="00DC2BCC"/>
    <w:rsid w:val="00DC3EF9"/>
    <w:rsid w:val="00DC508D"/>
    <w:rsid w:val="00DC537C"/>
    <w:rsid w:val="00DC6B78"/>
    <w:rsid w:val="00DC79C4"/>
    <w:rsid w:val="00DD0689"/>
    <w:rsid w:val="00DD20DF"/>
    <w:rsid w:val="00DD26D5"/>
    <w:rsid w:val="00DD282C"/>
    <w:rsid w:val="00DD33C0"/>
    <w:rsid w:val="00DD3449"/>
    <w:rsid w:val="00DD41CB"/>
    <w:rsid w:val="00DD64FE"/>
    <w:rsid w:val="00DD65F8"/>
    <w:rsid w:val="00DD74A3"/>
    <w:rsid w:val="00DE0B5E"/>
    <w:rsid w:val="00DE1918"/>
    <w:rsid w:val="00DE2749"/>
    <w:rsid w:val="00DE275F"/>
    <w:rsid w:val="00DE3625"/>
    <w:rsid w:val="00DE4B38"/>
    <w:rsid w:val="00DE5065"/>
    <w:rsid w:val="00DE5111"/>
    <w:rsid w:val="00DE525F"/>
    <w:rsid w:val="00DE5A23"/>
    <w:rsid w:val="00DE5D35"/>
    <w:rsid w:val="00DE6FE3"/>
    <w:rsid w:val="00DE7B37"/>
    <w:rsid w:val="00DE7D07"/>
    <w:rsid w:val="00DF01C2"/>
    <w:rsid w:val="00DF086C"/>
    <w:rsid w:val="00DF0D03"/>
    <w:rsid w:val="00DF0DA1"/>
    <w:rsid w:val="00DF0F31"/>
    <w:rsid w:val="00DF1007"/>
    <w:rsid w:val="00DF1732"/>
    <w:rsid w:val="00DF25FE"/>
    <w:rsid w:val="00DF2998"/>
    <w:rsid w:val="00DF2BFC"/>
    <w:rsid w:val="00DF2EB7"/>
    <w:rsid w:val="00DF3ED4"/>
    <w:rsid w:val="00DF495D"/>
    <w:rsid w:val="00DF4E77"/>
    <w:rsid w:val="00DF4E8D"/>
    <w:rsid w:val="00DF503A"/>
    <w:rsid w:val="00DF515A"/>
    <w:rsid w:val="00DF5807"/>
    <w:rsid w:val="00DF5F46"/>
    <w:rsid w:val="00DF660C"/>
    <w:rsid w:val="00DF676D"/>
    <w:rsid w:val="00DF6E05"/>
    <w:rsid w:val="00DF772E"/>
    <w:rsid w:val="00E00379"/>
    <w:rsid w:val="00E016C2"/>
    <w:rsid w:val="00E02558"/>
    <w:rsid w:val="00E02BB3"/>
    <w:rsid w:val="00E034EB"/>
    <w:rsid w:val="00E039BF"/>
    <w:rsid w:val="00E039C9"/>
    <w:rsid w:val="00E03A63"/>
    <w:rsid w:val="00E04870"/>
    <w:rsid w:val="00E0503E"/>
    <w:rsid w:val="00E053F7"/>
    <w:rsid w:val="00E056B9"/>
    <w:rsid w:val="00E063B3"/>
    <w:rsid w:val="00E077C3"/>
    <w:rsid w:val="00E103C7"/>
    <w:rsid w:val="00E11DF3"/>
    <w:rsid w:val="00E1208D"/>
    <w:rsid w:val="00E12552"/>
    <w:rsid w:val="00E13355"/>
    <w:rsid w:val="00E14195"/>
    <w:rsid w:val="00E15078"/>
    <w:rsid w:val="00E1635E"/>
    <w:rsid w:val="00E1736E"/>
    <w:rsid w:val="00E20106"/>
    <w:rsid w:val="00E20A5E"/>
    <w:rsid w:val="00E20B68"/>
    <w:rsid w:val="00E2123A"/>
    <w:rsid w:val="00E215B3"/>
    <w:rsid w:val="00E22041"/>
    <w:rsid w:val="00E22A6B"/>
    <w:rsid w:val="00E23102"/>
    <w:rsid w:val="00E2349D"/>
    <w:rsid w:val="00E23784"/>
    <w:rsid w:val="00E245CD"/>
    <w:rsid w:val="00E25167"/>
    <w:rsid w:val="00E25652"/>
    <w:rsid w:val="00E26D7C"/>
    <w:rsid w:val="00E30710"/>
    <w:rsid w:val="00E313F7"/>
    <w:rsid w:val="00E32AA1"/>
    <w:rsid w:val="00E32B6E"/>
    <w:rsid w:val="00E33771"/>
    <w:rsid w:val="00E33EAB"/>
    <w:rsid w:val="00E356C3"/>
    <w:rsid w:val="00E35DDD"/>
    <w:rsid w:val="00E366A8"/>
    <w:rsid w:val="00E37298"/>
    <w:rsid w:val="00E37B23"/>
    <w:rsid w:val="00E37B36"/>
    <w:rsid w:val="00E41A0B"/>
    <w:rsid w:val="00E41B2A"/>
    <w:rsid w:val="00E421E7"/>
    <w:rsid w:val="00E42533"/>
    <w:rsid w:val="00E431C7"/>
    <w:rsid w:val="00E454E2"/>
    <w:rsid w:val="00E45860"/>
    <w:rsid w:val="00E45884"/>
    <w:rsid w:val="00E463AB"/>
    <w:rsid w:val="00E46786"/>
    <w:rsid w:val="00E46FEF"/>
    <w:rsid w:val="00E505DD"/>
    <w:rsid w:val="00E50729"/>
    <w:rsid w:val="00E5188D"/>
    <w:rsid w:val="00E51D41"/>
    <w:rsid w:val="00E52326"/>
    <w:rsid w:val="00E527AC"/>
    <w:rsid w:val="00E5407E"/>
    <w:rsid w:val="00E55E1D"/>
    <w:rsid w:val="00E56573"/>
    <w:rsid w:val="00E574FD"/>
    <w:rsid w:val="00E57873"/>
    <w:rsid w:val="00E57FC6"/>
    <w:rsid w:val="00E60618"/>
    <w:rsid w:val="00E60B04"/>
    <w:rsid w:val="00E61340"/>
    <w:rsid w:val="00E62EA0"/>
    <w:rsid w:val="00E634A9"/>
    <w:rsid w:val="00E6381F"/>
    <w:rsid w:val="00E6487C"/>
    <w:rsid w:val="00E6555A"/>
    <w:rsid w:val="00E6597E"/>
    <w:rsid w:val="00E66E03"/>
    <w:rsid w:val="00E66F82"/>
    <w:rsid w:val="00E6711B"/>
    <w:rsid w:val="00E7045C"/>
    <w:rsid w:val="00E70778"/>
    <w:rsid w:val="00E70DE6"/>
    <w:rsid w:val="00E70E1A"/>
    <w:rsid w:val="00E71360"/>
    <w:rsid w:val="00E71FE1"/>
    <w:rsid w:val="00E72401"/>
    <w:rsid w:val="00E72E19"/>
    <w:rsid w:val="00E736D0"/>
    <w:rsid w:val="00E73D96"/>
    <w:rsid w:val="00E73E86"/>
    <w:rsid w:val="00E74D3A"/>
    <w:rsid w:val="00E75694"/>
    <w:rsid w:val="00E76486"/>
    <w:rsid w:val="00E766FC"/>
    <w:rsid w:val="00E77661"/>
    <w:rsid w:val="00E815FD"/>
    <w:rsid w:val="00E81E2F"/>
    <w:rsid w:val="00E824D3"/>
    <w:rsid w:val="00E82EFE"/>
    <w:rsid w:val="00E830E5"/>
    <w:rsid w:val="00E84429"/>
    <w:rsid w:val="00E86791"/>
    <w:rsid w:val="00E87197"/>
    <w:rsid w:val="00E87B33"/>
    <w:rsid w:val="00E90782"/>
    <w:rsid w:val="00E90847"/>
    <w:rsid w:val="00E91D5C"/>
    <w:rsid w:val="00E92167"/>
    <w:rsid w:val="00E92F17"/>
    <w:rsid w:val="00E9336C"/>
    <w:rsid w:val="00E935FB"/>
    <w:rsid w:val="00E93FA4"/>
    <w:rsid w:val="00E95ABF"/>
    <w:rsid w:val="00E97203"/>
    <w:rsid w:val="00E97450"/>
    <w:rsid w:val="00EA0A7A"/>
    <w:rsid w:val="00EA0D64"/>
    <w:rsid w:val="00EA23C8"/>
    <w:rsid w:val="00EA3149"/>
    <w:rsid w:val="00EA31EE"/>
    <w:rsid w:val="00EA3F0C"/>
    <w:rsid w:val="00EA5864"/>
    <w:rsid w:val="00EA5DEE"/>
    <w:rsid w:val="00EA7156"/>
    <w:rsid w:val="00EB0646"/>
    <w:rsid w:val="00EB084F"/>
    <w:rsid w:val="00EB087E"/>
    <w:rsid w:val="00EB08B7"/>
    <w:rsid w:val="00EB158E"/>
    <w:rsid w:val="00EB2590"/>
    <w:rsid w:val="00EB31E1"/>
    <w:rsid w:val="00EB3521"/>
    <w:rsid w:val="00EB5463"/>
    <w:rsid w:val="00EC0A12"/>
    <w:rsid w:val="00EC11FF"/>
    <w:rsid w:val="00EC129B"/>
    <w:rsid w:val="00EC1316"/>
    <w:rsid w:val="00EC1D54"/>
    <w:rsid w:val="00EC26A6"/>
    <w:rsid w:val="00EC3358"/>
    <w:rsid w:val="00EC3867"/>
    <w:rsid w:val="00EC41B9"/>
    <w:rsid w:val="00EC43D6"/>
    <w:rsid w:val="00EC578B"/>
    <w:rsid w:val="00EC5C6A"/>
    <w:rsid w:val="00EC6548"/>
    <w:rsid w:val="00EC688F"/>
    <w:rsid w:val="00EC68FF"/>
    <w:rsid w:val="00EC7173"/>
    <w:rsid w:val="00EC7E81"/>
    <w:rsid w:val="00ED0476"/>
    <w:rsid w:val="00ED0AFE"/>
    <w:rsid w:val="00ED17EE"/>
    <w:rsid w:val="00ED2F03"/>
    <w:rsid w:val="00ED35AE"/>
    <w:rsid w:val="00ED5D2D"/>
    <w:rsid w:val="00ED5D94"/>
    <w:rsid w:val="00ED60E8"/>
    <w:rsid w:val="00ED617D"/>
    <w:rsid w:val="00ED6750"/>
    <w:rsid w:val="00ED6B7B"/>
    <w:rsid w:val="00ED718F"/>
    <w:rsid w:val="00ED73B0"/>
    <w:rsid w:val="00ED76A5"/>
    <w:rsid w:val="00EE042B"/>
    <w:rsid w:val="00EE07EF"/>
    <w:rsid w:val="00EE0872"/>
    <w:rsid w:val="00EE0912"/>
    <w:rsid w:val="00EE0F6E"/>
    <w:rsid w:val="00EE1312"/>
    <w:rsid w:val="00EE14EC"/>
    <w:rsid w:val="00EE288F"/>
    <w:rsid w:val="00EE31EF"/>
    <w:rsid w:val="00EE476B"/>
    <w:rsid w:val="00EE581B"/>
    <w:rsid w:val="00EE58EC"/>
    <w:rsid w:val="00EE5F79"/>
    <w:rsid w:val="00EE623C"/>
    <w:rsid w:val="00EE626C"/>
    <w:rsid w:val="00EE68E6"/>
    <w:rsid w:val="00EE6F4C"/>
    <w:rsid w:val="00EE71EE"/>
    <w:rsid w:val="00EE7717"/>
    <w:rsid w:val="00EF021C"/>
    <w:rsid w:val="00EF0307"/>
    <w:rsid w:val="00EF06EF"/>
    <w:rsid w:val="00EF1047"/>
    <w:rsid w:val="00EF10D8"/>
    <w:rsid w:val="00EF319D"/>
    <w:rsid w:val="00EF32ED"/>
    <w:rsid w:val="00EF46B9"/>
    <w:rsid w:val="00EF4718"/>
    <w:rsid w:val="00EF4E24"/>
    <w:rsid w:val="00EF4F3B"/>
    <w:rsid w:val="00EF5092"/>
    <w:rsid w:val="00EF5516"/>
    <w:rsid w:val="00EF594A"/>
    <w:rsid w:val="00EF6932"/>
    <w:rsid w:val="00EF6DBB"/>
    <w:rsid w:val="00EF71F6"/>
    <w:rsid w:val="00EF7251"/>
    <w:rsid w:val="00EF75F4"/>
    <w:rsid w:val="00EF78C5"/>
    <w:rsid w:val="00EF7A55"/>
    <w:rsid w:val="00EF7E6D"/>
    <w:rsid w:val="00F029B9"/>
    <w:rsid w:val="00F0308B"/>
    <w:rsid w:val="00F0408C"/>
    <w:rsid w:val="00F05C9A"/>
    <w:rsid w:val="00F0633F"/>
    <w:rsid w:val="00F07DA1"/>
    <w:rsid w:val="00F07FFD"/>
    <w:rsid w:val="00F10F0F"/>
    <w:rsid w:val="00F117EF"/>
    <w:rsid w:val="00F11890"/>
    <w:rsid w:val="00F1194B"/>
    <w:rsid w:val="00F130AD"/>
    <w:rsid w:val="00F13996"/>
    <w:rsid w:val="00F13F11"/>
    <w:rsid w:val="00F14912"/>
    <w:rsid w:val="00F14CC1"/>
    <w:rsid w:val="00F164C0"/>
    <w:rsid w:val="00F16BF6"/>
    <w:rsid w:val="00F170D8"/>
    <w:rsid w:val="00F17ADD"/>
    <w:rsid w:val="00F17BE0"/>
    <w:rsid w:val="00F216A3"/>
    <w:rsid w:val="00F21AE2"/>
    <w:rsid w:val="00F227FD"/>
    <w:rsid w:val="00F22A0F"/>
    <w:rsid w:val="00F247FD"/>
    <w:rsid w:val="00F2567D"/>
    <w:rsid w:val="00F263A5"/>
    <w:rsid w:val="00F26535"/>
    <w:rsid w:val="00F2672C"/>
    <w:rsid w:val="00F26C95"/>
    <w:rsid w:val="00F30834"/>
    <w:rsid w:val="00F31367"/>
    <w:rsid w:val="00F33466"/>
    <w:rsid w:val="00F33C5B"/>
    <w:rsid w:val="00F33DC4"/>
    <w:rsid w:val="00F3461F"/>
    <w:rsid w:val="00F34D6A"/>
    <w:rsid w:val="00F35A6F"/>
    <w:rsid w:val="00F35E4A"/>
    <w:rsid w:val="00F363A6"/>
    <w:rsid w:val="00F36D67"/>
    <w:rsid w:val="00F36EB3"/>
    <w:rsid w:val="00F371FC"/>
    <w:rsid w:val="00F37755"/>
    <w:rsid w:val="00F40A3B"/>
    <w:rsid w:val="00F417DE"/>
    <w:rsid w:val="00F428E9"/>
    <w:rsid w:val="00F42E46"/>
    <w:rsid w:val="00F4328F"/>
    <w:rsid w:val="00F4343B"/>
    <w:rsid w:val="00F4379F"/>
    <w:rsid w:val="00F45F47"/>
    <w:rsid w:val="00F462BD"/>
    <w:rsid w:val="00F46E7E"/>
    <w:rsid w:val="00F4749E"/>
    <w:rsid w:val="00F47574"/>
    <w:rsid w:val="00F47649"/>
    <w:rsid w:val="00F5066D"/>
    <w:rsid w:val="00F5093C"/>
    <w:rsid w:val="00F50C61"/>
    <w:rsid w:val="00F51555"/>
    <w:rsid w:val="00F53009"/>
    <w:rsid w:val="00F538DC"/>
    <w:rsid w:val="00F53BDA"/>
    <w:rsid w:val="00F5429C"/>
    <w:rsid w:val="00F55426"/>
    <w:rsid w:val="00F56097"/>
    <w:rsid w:val="00F5658C"/>
    <w:rsid w:val="00F5686B"/>
    <w:rsid w:val="00F57224"/>
    <w:rsid w:val="00F575D9"/>
    <w:rsid w:val="00F57908"/>
    <w:rsid w:val="00F60022"/>
    <w:rsid w:val="00F6029C"/>
    <w:rsid w:val="00F60530"/>
    <w:rsid w:val="00F60B08"/>
    <w:rsid w:val="00F60CA0"/>
    <w:rsid w:val="00F60CC4"/>
    <w:rsid w:val="00F61B22"/>
    <w:rsid w:val="00F61D45"/>
    <w:rsid w:val="00F6280E"/>
    <w:rsid w:val="00F62CF5"/>
    <w:rsid w:val="00F63020"/>
    <w:rsid w:val="00F63A8B"/>
    <w:rsid w:val="00F64376"/>
    <w:rsid w:val="00F64431"/>
    <w:rsid w:val="00F64A5A"/>
    <w:rsid w:val="00F64C19"/>
    <w:rsid w:val="00F65137"/>
    <w:rsid w:val="00F65BF3"/>
    <w:rsid w:val="00F65DE6"/>
    <w:rsid w:val="00F664D6"/>
    <w:rsid w:val="00F67E8C"/>
    <w:rsid w:val="00F70D91"/>
    <w:rsid w:val="00F71DF4"/>
    <w:rsid w:val="00F72371"/>
    <w:rsid w:val="00F72FA2"/>
    <w:rsid w:val="00F73FD4"/>
    <w:rsid w:val="00F74CBC"/>
    <w:rsid w:val="00F74D40"/>
    <w:rsid w:val="00F762CD"/>
    <w:rsid w:val="00F764FA"/>
    <w:rsid w:val="00F76CD2"/>
    <w:rsid w:val="00F770FF"/>
    <w:rsid w:val="00F778EE"/>
    <w:rsid w:val="00F81E7B"/>
    <w:rsid w:val="00F82501"/>
    <w:rsid w:val="00F8313F"/>
    <w:rsid w:val="00F83DDE"/>
    <w:rsid w:val="00F840E4"/>
    <w:rsid w:val="00F84120"/>
    <w:rsid w:val="00F842B0"/>
    <w:rsid w:val="00F853A2"/>
    <w:rsid w:val="00F8577B"/>
    <w:rsid w:val="00F85858"/>
    <w:rsid w:val="00F859A7"/>
    <w:rsid w:val="00F86431"/>
    <w:rsid w:val="00F868E6"/>
    <w:rsid w:val="00F8761D"/>
    <w:rsid w:val="00F90685"/>
    <w:rsid w:val="00F91524"/>
    <w:rsid w:val="00F92388"/>
    <w:rsid w:val="00F923F6"/>
    <w:rsid w:val="00F92BB9"/>
    <w:rsid w:val="00F92DC0"/>
    <w:rsid w:val="00F93C7B"/>
    <w:rsid w:val="00F93CCE"/>
    <w:rsid w:val="00F94191"/>
    <w:rsid w:val="00F946F4"/>
    <w:rsid w:val="00F94B30"/>
    <w:rsid w:val="00F95808"/>
    <w:rsid w:val="00F95A9A"/>
    <w:rsid w:val="00F95CCA"/>
    <w:rsid w:val="00F95E2A"/>
    <w:rsid w:val="00F95F21"/>
    <w:rsid w:val="00F968A3"/>
    <w:rsid w:val="00F97085"/>
    <w:rsid w:val="00FA0A45"/>
    <w:rsid w:val="00FA0B48"/>
    <w:rsid w:val="00FA0B51"/>
    <w:rsid w:val="00FA0DBA"/>
    <w:rsid w:val="00FA104D"/>
    <w:rsid w:val="00FA1102"/>
    <w:rsid w:val="00FA130E"/>
    <w:rsid w:val="00FA1FF5"/>
    <w:rsid w:val="00FA246B"/>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20B6"/>
    <w:rsid w:val="00FB2753"/>
    <w:rsid w:val="00FB5DB6"/>
    <w:rsid w:val="00FB6C8E"/>
    <w:rsid w:val="00FB6D8F"/>
    <w:rsid w:val="00FB6E05"/>
    <w:rsid w:val="00FB7208"/>
    <w:rsid w:val="00FB7998"/>
    <w:rsid w:val="00FC15F4"/>
    <w:rsid w:val="00FC34F9"/>
    <w:rsid w:val="00FC3C51"/>
    <w:rsid w:val="00FC477B"/>
    <w:rsid w:val="00FC4D3D"/>
    <w:rsid w:val="00FC5BF1"/>
    <w:rsid w:val="00FC63D8"/>
    <w:rsid w:val="00FC6961"/>
    <w:rsid w:val="00FC7D8D"/>
    <w:rsid w:val="00FD1394"/>
    <w:rsid w:val="00FD1508"/>
    <w:rsid w:val="00FD1F1C"/>
    <w:rsid w:val="00FD2F3E"/>
    <w:rsid w:val="00FD52BF"/>
    <w:rsid w:val="00FD5986"/>
    <w:rsid w:val="00FD6288"/>
    <w:rsid w:val="00FD6F65"/>
    <w:rsid w:val="00FE0B77"/>
    <w:rsid w:val="00FE0E0E"/>
    <w:rsid w:val="00FE0FC6"/>
    <w:rsid w:val="00FE1316"/>
    <w:rsid w:val="00FE136D"/>
    <w:rsid w:val="00FE1BC2"/>
    <w:rsid w:val="00FE1F2F"/>
    <w:rsid w:val="00FE2C1A"/>
    <w:rsid w:val="00FE303F"/>
    <w:rsid w:val="00FE3889"/>
    <w:rsid w:val="00FE394F"/>
    <w:rsid w:val="00FE4069"/>
    <w:rsid w:val="00FE43E8"/>
    <w:rsid w:val="00FE499B"/>
    <w:rsid w:val="00FE501A"/>
    <w:rsid w:val="00FE61E9"/>
    <w:rsid w:val="00FE63D4"/>
    <w:rsid w:val="00FE6BAE"/>
    <w:rsid w:val="00FE7197"/>
    <w:rsid w:val="00FE7F5C"/>
    <w:rsid w:val="00FF08B1"/>
    <w:rsid w:val="00FF0BEF"/>
    <w:rsid w:val="00FF0C42"/>
    <w:rsid w:val="00FF15E4"/>
    <w:rsid w:val="00FF1B00"/>
    <w:rsid w:val="00FF1B0A"/>
    <w:rsid w:val="00FF25BE"/>
    <w:rsid w:val="00FF379B"/>
    <w:rsid w:val="00FF3A04"/>
    <w:rsid w:val="00FF429A"/>
    <w:rsid w:val="00FF501A"/>
    <w:rsid w:val="00FF643A"/>
    <w:rsid w:val="00FF6C81"/>
    <w:rsid w:val="00FF6E4F"/>
    <w:rsid w:val="00FF7352"/>
    <w:rsid w:val="00FF77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none [3204]" strokecolor="#6f7072">
      <v:fill color="none [3204]"/>
      <v:stroke color="#6f7072"/>
      <o:colormru v:ext="edit" colors="#fbba00"/>
    </o:shapedefaults>
    <o:shapelayout v:ext="edit">
      <o:idmap v:ext="edit" data="1"/>
    </o:shapelayout>
  </w:shapeDefaults>
  <w:decimalSymbol w:val=","/>
  <w:listSeparator w:val=";"/>
  <w14:docId w14:val="642E77D9"/>
  <w15:docId w15:val="{FA590028-73D5-49EC-81F1-8E0299D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86"/>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51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169"/>
    <w:rPr>
      <w:rFonts w:ascii="Tahoma" w:hAnsi="Tahoma" w:cs="Tahoma"/>
      <w:sz w:val="16"/>
      <w:szCs w:val="16"/>
    </w:rPr>
  </w:style>
  <w:style w:type="paragraph" w:styleId="INNH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foravsnitt"/>
    <w:link w:val="Overskrift1"/>
    <w:uiPriority w:val="9"/>
    <w:rsid w:val="00CD0BD3"/>
    <w:rPr>
      <w:rFonts w:eastAsiaTheme="majorEastAsia" w:cstheme="majorBidi"/>
      <w:b/>
      <w:bCs/>
      <w:color w:val="5B7B90"/>
      <w:sz w:val="32"/>
      <w:szCs w:val="28"/>
      <w:lang w:val="en-GB" w:bidi="ar-QA"/>
    </w:rPr>
  </w:style>
  <w:style w:type="character" w:styleId="Plassholdertekst">
    <w:name w:val="Placeholder Text"/>
    <w:basedOn w:val="Standardskriftforavsnitt"/>
    <w:uiPriority w:val="99"/>
    <w:semiHidden/>
    <w:rsid w:val="00C522FE"/>
    <w:rPr>
      <w:color w:val="808080"/>
    </w:rPr>
  </w:style>
  <w:style w:type="paragraph" w:styleId="Undertittel">
    <w:name w:val="Subtitle"/>
    <w:basedOn w:val="Normal"/>
    <w:next w:val="Normal"/>
    <w:link w:val="Undertit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telTegn">
    <w:name w:val="Undertittel Tegn"/>
    <w:basedOn w:val="Standardskriftforavsnitt"/>
    <w:link w:val="Undertit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ktittel">
    <w:name w:val="Book Title"/>
    <w:basedOn w:val="Standardskriftforavsnitt"/>
    <w:uiPriority w:val="33"/>
    <w:semiHidden/>
    <w:qFormat/>
    <w:rsid w:val="001E3932"/>
    <w:rPr>
      <w:b/>
      <w:bCs/>
      <w:smallCaps/>
      <w:spacing w:val="5"/>
    </w:rPr>
  </w:style>
  <w:style w:type="paragraph" w:styleId="Topptekst">
    <w:name w:val="header"/>
    <w:basedOn w:val="Normal"/>
    <w:link w:val="TopptekstTegn"/>
    <w:uiPriority w:val="99"/>
    <w:rsid w:val="00452C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F"/>
  </w:style>
  <w:style w:type="paragraph" w:styleId="Bunntekst">
    <w:name w:val="footer"/>
    <w:basedOn w:val="Normal"/>
    <w:link w:val="BunntekstTegn"/>
    <w:uiPriority w:val="99"/>
    <w:rsid w:val="00DE0B5E"/>
    <w:pPr>
      <w:tabs>
        <w:tab w:val="center" w:pos="4536"/>
        <w:tab w:val="right" w:pos="9072"/>
      </w:tabs>
      <w:spacing w:after="0" w:line="240" w:lineRule="auto"/>
      <w:jc w:val="right"/>
    </w:pPr>
    <w:rPr>
      <w:color w:val="6F7072"/>
      <w:sz w:val="14"/>
    </w:rPr>
  </w:style>
  <w:style w:type="character" w:customStyle="1" w:styleId="BunntekstTegn">
    <w:name w:val="Bunntekst Tegn"/>
    <w:basedOn w:val="Standardskriftforavsnitt"/>
    <w:link w:val="Bunntekst"/>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foravsnit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foravsnit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foravsnit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vsnitt">
    <w:name w:val="List Paragraph"/>
    <w:basedOn w:val="Normal"/>
    <w:link w:val="Listeavsnit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foravsnit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foravsnit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foravsnit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Nummerertliste">
    <w:name w:val="List Number"/>
    <w:basedOn w:val="Normal"/>
    <w:uiPriority w:val="99"/>
    <w:semiHidden/>
    <w:rsid w:val="00105389"/>
    <w:pPr>
      <w:numPr>
        <w:numId w:val="1"/>
      </w:numPr>
      <w:contextualSpacing/>
    </w:pPr>
  </w:style>
  <w:style w:type="character" w:customStyle="1" w:styleId="Overskrift8Tegn">
    <w:name w:val="Overskrift 8 Tegn"/>
    <w:basedOn w:val="Standardskriftforavsnit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foravsnitt"/>
    <w:link w:val="Overskrift9"/>
    <w:uiPriority w:val="9"/>
    <w:semiHidden/>
    <w:rsid w:val="00E97203"/>
    <w:rPr>
      <w:rFonts w:eastAsiaTheme="majorEastAsia" w:cstheme="majorBidi"/>
      <w:iCs/>
      <w:color w:val="5B7B90"/>
      <w:sz w:val="32"/>
      <w:szCs w:val="20"/>
      <w:lang w:val="en-GB"/>
    </w:rPr>
  </w:style>
  <w:style w:type="paragraph" w:styleId="INNH2">
    <w:name w:val="toc 2"/>
    <w:basedOn w:val="INNH1"/>
    <w:next w:val="Normal"/>
    <w:uiPriority w:val="39"/>
    <w:rsid w:val="006327F5"/>
    <w:pPr>
      <w:spacing w:before="0"/>
    </w:pPr>
    <w:rPr>
      <w:iCs w:val="0"/>
      <w:sz w:val="20"/>
      <w:szCs w:val="20"/>
    </w:rPr>
  </w:style>
  <w:style w:type="paragraph" w:styleId="INNH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kobling">
    <w:name w:val="Hyperlink"/>
    <w:basedOn w:val="Standardskriftforavsnitt"/>
    <w:uiPriority w:val="99"/>
    <w:unhideWhenUsed/>
    <w:rsid w:val="00631E4D"/>
    <w:rPr>
      <w:color w:val="4C6D88" w:themeColor="hyperlink"/>
      <w:u w:val="single"/>
    </w:rPr>
  </w:style>
  <w:style w:type="paragraph" w:styleId="Overskriftforinnholdsfortegnelse">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NH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NH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NH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NH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NH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NH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de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l">
    <w:name w:val="page number"/>
    <w:basedOn w:val="Standardskriftforavsnitt"/>
    <w:uiPriority w:val="99"/>
    <w:semiHidden/>
    <w:rsid w:val="00334F3F"/>
    <w:rPr>
      <w:rFonts w:ascii="Segoe UI Light" w:hAnsi="Segoe UI Light"/>
      <w:color w:val="4E4F50"/>
      <w:sz w:val="14"/>
    </w:rPr>
  </w:style>
  <w:style w:type="paragraph" w:customStyle="1" w:styleId="Fusszeile2">
    <w:name w:val="Fusszeile2"/>
    <w:basedOn w:val="Bunntekst"/>
    <w:semiHidden/>
    <w:qFormat/>
    <w:rsid w:val="00F21AE2"/>
    <w:rPr>
      <w:noProof/>
    </w:rPr>
  </w:style>
  <w:style w:type="table" w:styleId="Tabellrutenett">
    <w:name w:val="Table Grid"/>
    <w:basedOn w:val="Vanligtabel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iddelsliste2uthevingsfarge1">
    <w:name w:val="Medium List 2 Accent 1"/>
    <w:basedOn w:val="Vanligtabel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Vanligtabel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Punktliste">
    <w:name w:val="List Bullet"/>
    <w:basedOn w:val="Blocksatz"/>
    <w:uiPriority w:val="99"/>
    <w:qFormat/>
    <w:rsid w:val="00E356C3"/>
    <w:pPr>
      <w:numPr>
        <w:numId w:val="9"/>
      </w:numPr>
      <w:contextualSpacing/>
    </w:pPr>
  </w:style>
  <w:style w:type="paragraph" w:styleId="Punktliste2">
    <w:name w:val="List Bullet 2"/>
    <w:basedOn w:val="Blocksatz"/>
    <w:uiPriority w:val="99"/>
    <w:qFormat/>
    <w:rsid w:val="00E356C3"/>
    <w:pPr>
      <w:numPr>
        <w:ilvl w:val="1"/>
        <w:numId w:val="9"/>
      </w:numPr>
      <w:contextualSpacing/>
    </w:pPr>
  </w:style>
  <w:style w:type="paragraph" w:styleId="Punktliste3">
    <w:name w:val="List Bullet 3"/>
    <w:basedOn w:val="Blocksatz"/>
    <w:uiPriority w:val="99"/>
    <w:qFormat/>
    <w:rsid w:val="00E356C3"/>
    <w:pPr>
      <w:numPr>
        <w:ilvl w:val="2"/>
        <w:numId w:val="9"/>
      </w:numPr>
      <w:contextualSpacing/>
    </w:pPr>
  </w:style>
  <w:style w:type="paragraph" w:styleId="Punktliste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foravsnit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Punktliste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foravsnit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tnotetekst">
    <w:name w:val="footnote text"/>
    <w:basedOn w:val="Normal"/>
    <w:link w:val="Fot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tnotetekstTegn">
    <w:name w:val="Fotnotetekst Tegn"/>
    <w:basedOn w:val="Standardskriftforavsnitt"/>
    <w:link w:val="Fotnotetekst"/>
    <w:uiPriority w:val="99"/>
    <w:rsid w:val="00010221"/>
    <w:rPr>
      <w:sz w:val="20"/>
      <w:szCs w:val="20"/>
    </w:rPr>
  </w:style>
  <w:style w:type="character" w:styleId="Fotnotereferanse">
    <w:name w:val="footnote reference"/>
    <w:basedOn w:val="Standardskriftforavsnit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foravsnit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foravsnit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foravsnit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foravsnit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foravsnitt"/>
    <w:link w:val="Aufzhlungszeichen6"/>
    <w:semiHidden/>
    <w:rsid w:val="005A6823"/>
    <w:rPr>
      <w:lang w:val="en-GB"/>
    </w:rPr>
  </w:style>
  <w:style w:type="character" w:styleId="Merknadsreferanse">
    <w:name w:val="annotation reference"/>
    <w:aliases w:val="Stinking Styles6,Marque de commentaire1"/>
    <w:basedOn w:val="Standardskriftforavsnitt"/>
    <w:uiPriority w:val="99"/>
    <w:unhideWhenUsed/>
    <w:rsid w:val="008C5A4A"/>
    <w:rPr>
      <w:sz w:val="16"/>
      <w:szCs w:val="16"/>
    </w:rPr>
  </w:style>
  <w:style w:type="paragraph" w:styleId="Merknadstekst">
    <w:name w:val="annotation text"/>
    <w:aliases w:val="Stinking Styles5,Commentaire"/>
    <w:basedOn w:val="Normal"/>
    <w:link w:val="MerknadstekstTegn"/>
    <w:uiPriority w:val="99"/>
    <w:unhideWhenUsed/>
    <w:rsid w:val="008C5A4A"/>
    <w:pPr>
      <w:spacing w:line="240" w:lineRule="auto"/>
    </w:pPr>
    <w:rPr>
      <w:sz w:val="20"/>
      <w:szCs w:val="20"/>
    </w:rPr>
  </w:style>
  <w:style w:type="character" w:customStyle="1" w:styleId="MerknadstekstTegn">
    <w:name w:val="Merknadstekst Tegn"/>
    <w:aliases w:val="Stinking Styles5 Tegn,Commentaire Tegn"/>
    <w:basedOn w:val="Standardskriftforavsnitt"/>
    <w:link w:val="Merknadstekst"/>
    <w:uiPriority w:val="99"/>
    <w:rsid w:val="008C5A4A"/>
    <w:rPr>
      <w:sz w:val="20"/>
      <w:szCs w:val="20"/>
    </w:rPr>
  </w:style>
  <w:style w:type="paragraph" w:styleId="Kommentaremne">
    <w:name w:val="annotation subject"/>
    <w:basedOn w:val="Merknadstekst"/>
    <w:next w:val="Merknadstekst"/>
    <w:link w:val="KommentaremneTegn"/>
    <w:uiPriority w:val="99"/>
    <w:semiHidden/>
    <w:unhideWhenUsed/>
    <w:rsid w:val="008C5A4A"/>
    <w:rPr>
      <w:b/>
      <w:bCs/>
    </w:rPr>
  </w:style>
  <w:style w:type="character" w:customStyle="1" w:styleId="KommentaremneTegn">
    <w:name w:val="Kommentaremne Tegn"/>
    <w:basedOn w:val="MerknadstekstTegn"/>
    <w:link w:val="Kommentaremne"/>
    <w:uiPriority w:val="99"/>
    <w:semiHidden/>
    <w:rsid w:val="008C5A4A"/>
    <w:rPr>
      <w:b/>
      <w:bCs/>
      <w:sz w:val="20"/>
      <w:szCs w:val="20"/>
    </w:rPr>
  </w:style>
  <w:style w:type="paragraph" w:styleId="Revisjon">
    <w:name w:val="Revision"/>
    <w:hidden/>
    <w:uiPriority w:val="99"/>
    <w:semiHidden/>
    <w:rsid w:val="00BD7A42"/>
    <w:pPr>
      <w:spacing w:after="0" w:line="240" w:lineRule="auto"/>
      <w:jc w:val="left"/>
    </w:pPr>
    <w:rPr>
      <w:lang w:val="en-GB"/>
    </w:rPr>
  </w:style>
  <w:style w:type="character" w:styleId="Sterk">
    <w:name w:val="Strong"/>
    <w:basedOn w:val="Standardskriftforavsnitt"/>
    <w:uiPriority w:val="99"/>
    <w:qFormat/>
    <w:rsid w:val="004F1199"/>
    <w:rPr>
      <w:rFonts w:cs="Times New Roman"/>
      <w:b/>
      <w:bCs/>
    </w:rPr>
  </w:style>
  <w:style w:type="table" w:styleId="Lyslisteuthevingsfarge2">
    <w:name w:val="Light List Accent 2"/>
    <w:basedOn w:val="Vanligtabel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uthevingsfarge4">
    <w:name w:val="Light List Accent 4"/>
    <w:basedOn w:val="Vanligtabel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foravsnitt"/>
    <w:link w:val="TSCBullets"/>
    <w:rsid w:val="00706F61"/>
    <w:rPr>
      <w:rFonts w:ascii="Verdana" w:eastAsia="Times New Roman" w:hAnsi="Verdana" w:cs="Arial"/>
      <w:sz w:val="20"/>
      <w:lang w:val="en-GB" w:eastAsia="de-DE"/>
    </w:rPr>
  </w:style>
  <w:style w:type="character" w:styleId="Fulgthyperkobling">
    <w:name w:val="FollowedHyperlink"/>
    <w:basedOn w:val="Standardskriftforavsnitt"/>
    <w:uiPriority w:val="99"/>
    <w:semiHidden/>
    <w:unhideWhenUsed/>
    <w:rsid w:val="00EC1D54"/>
    <w:rPr>
      <w:color w:val="AC6472" w:themeColor="followedHyperlink"/>
      <w:u w:val="single"/>
    </w:rPr>
  </w:style>
  <w:style w:type="paragraph" w:styleId="Hilsen">
    <w:name w:val="Closing"/>
    <w:basedOn w:val="Normal"/>
    <w:link w:val="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HilsenTegn">
    <w:name w:val="Hilsen Tegn"/>
    <w:basedOn w:val="Standardskriftforavsnitt"/>
    <w:link w:val="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foravsnit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Vanligtabel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vsnittTegn">
    <w:name w:val="Listeavsnitt Tegn"/>
    <w:basedOn w:val="Standardskriftforavsnitt"/>
    <w:link w:val="Listeavsnitt"/>
    <w:uiPriority w:val="34"/>
    <w:locked/>
    <w:rsid w:val="00373758"/>
    <w:rPr>
      <w:lang w:val="en-GB"/>
    </w:rPr>
  </w:style>
  <w:style w:type="table" w:customStyle="1" w:styleId="Vanligtabell31">
    <w:name w:val="Vanlig tabell 31"/>
    <w:basedOn w:val="Vanligtabel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foravsnit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foravsnitt"/>
    <w:link w:val="Articlename"/>
    <w:rsid w:val="00B93465"/>
    <w:rPr>
      <w:rFonts w:ascii="Times New Roman" w:hAnsi="Times New Roman" w:cs="Times New Roman"/>
      <w:i/>
      <w:color w:val="6F7072" w:themeColor="text1"/>
      <w:sz w:val="24"/>
      <w:szCs w:val="24"/>
      <w:lang w:val="en-GB"/>
    </w:rPr>
  </w:style>
  <w:style w:type="paragraph" w:styleId="Nummerertliste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Nummerertliste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Nummerertliste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foravsnit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foravsnit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foravsnitt"/>
    <w:rsid w:val="00B93465"/>
    <w:rPr>
      <w:color w:val="0000FF"/>
      <w:shd w:val="clear" w:color="auto" w:fill="auto"/>
    </w:rPr>
  </w:style>
  <w:style w:type="character" w:customStyle="1" w:styleId="Marker1">
    <w:name w:val="Marker1"/>
    <w:basedOn w:val="Standardskriftforavsnitt"/>
    <w:rsid w:val="00B93465"/>
    <w:rPr>
      <w:color w:val="008000"/>
      <w:shd w:val="clear" w:color="auto" w:fill="auto"/>
    </w:rPr>
  </w:style>
  <w:style w:type="character" w:customStyle="1" w:styleId="Marker2">
    <w:name w:val="Marker2"/>
    <w:basedOn w:val="Standardskriftforavsnit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foravsnitt"/>
    <w:rsid w:val="00B93465"/>
    <w:rPr>
      <w:b/>
      <w:u w:val="single"/>
      <w:shd w:val="clear" w:color="auto" w:fill="auto"/>
    </w:rPr>
  </w:style>
  <w:style w:type="character" w:customStyle="1" w:styleId="Deleted">
    <w:name w:val="Deleted"/>
    <w:basedOn w:val="Standardskriftforavsnit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243993494">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91770678">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24">
          <w:marLeft w:val="446"/>
          <w:marRight w:val="0"/>
          <w:marTop w:val="0"/>
          <w:marBottom w:val="120"/>
          <w:divBdr>
            <w:top w:val="none" w:sz="0" w:space="0" w:color="auto"/>
            <w:left w:val="none" w:sz="0" w:space="0" w:color="auto"/>
            <w:bottom w:val="none" w:sz="0" w:space="0" w:color="auto"/>
            <w:right w:val="none" w:sz="0" w:space="0" w:color="auto"/>
          </w:divBdr>
        </w:div>
        <w:div w:id="453452743">
          <w:marLeft w:val="734"/>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06884036">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fingrid.fi/en/" TargetMode="External"/><Relationship Id="rId17" Type="http://schemas.openxmlformats.org/officeDocument/2006/relationships/image" Target="media/image5.jp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AEDC083D6A32E84C94E1F3F69C9D90F7" ma:contentTypeVersion="0" ma:contentTypeDescription="Create a new document." ma:contentTypeScope="" ma:versionID="9b735d62d371c165181d5e6304974674">
  <xsd:schema xmlns:xsd="http://www.w3.org/2001/XMLSchema" xmlns:xs="http://www.w3.org/2001/XMLSchema" xmlns:p="http://schemas.microsoft.com/office/2006/metadata/properties" xmlns:ns2="a170eb0a-a83f-4dea-9022-c0edb96f04ce" targetNamespace="http://schemas.microsoft.com/office/2006/metadata/properties" ma:root="true" ma:fieldsID="07b2296e68d96403da137ef356feb3b6" ns2:_="">
    <xsd:import namespace="a170eb0a-a83f-4dea-9022-c0edb96f04ce"/>
    <xsd:element name="properties">
      <xsd:complexType>
        <xsd:sequence>
          <xsd:element name="documentManagement">
            <xsd:complexType>
              <xsd:all>
                <xsd:element ref="ns2:SIStatusOfDocumentColumn41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0eb0a-a83f-4dea-9022-c0edb96f04ce" elementFormDefault="qualified">
    <xsd:import namespace="http://schemas.microsoft.com/office/2006/documentManagement/types"/>
    <xsd:import namespace="http://schemas.microsoft.com/office/infopath/2007/PartnerControls"/>
    <xsd:element name="SIStatusOfDocumentColumn413" ma:index="8" nillable="true" ma:displayName="Status of the document" ma:internalName="SIStatusOfDocumentColumn41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StatusOfDocumentColumn413 xmlns="a170eb0a-a83f-4dea-9022-c0edb96f04c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827F2-CA5F-473A-9AEF-7AA18C786139}">
  <ds:schemaRefs>
    <ds:schemaRef ds:uri="http://schemas.openxmlformats.org/officeDocument/2006/bibliography"/>
  </ds:schemaRefs>
</ds:datastoreItem>
</file>

<file path=customXml/itemProps3.xml><?xml version="1.0" encoding="utf-8"?>
<ds:datastoreItem xmlns:ds="http://schemas.openxmlformats.org/officeDocument/2006/customXml" ds:itemID="{8A075B41-67D0-4026-84D1-43340438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0eb0a-a83f-4dea-9022-c0edb96f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6F571-934A-43C5-8310-A788EE957B58}">
  <ds:schemaRefs>
    <ds:schemaRef ds:uri="http://schemas.microsoft.com/sharepoint/v3/contenttype/forms"/>
  </ds:schemaRefs>
</ds:datastoreItem>
</file>

<file path=customXml/itemProps5.xml><?xml version="1.0" encoding="utf-8"?>
<ds:datastoreItem xmlns:ds="http://schemas.openxmlformats.org/officeDocument/2006/customXml" ds:itemID="{919CD5C4-2042-49D6-8516-58F9BCA3419B}">
  <ds:schemaRefs>
    <ds:schemaRef ds:uri="http://schemas.microsoft.com/office/2006/metadata/properties"/>
    <ds:schemaRef ds:uri="http://schemas.microsoft.com/office/infopath/2007/PartnerControls"/>
    <ds:schemaRef ds:uri="a170eb0a-a83f-4dea-9022-c0edb96f04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2778</Words>
  <Characters>14725</Characters>
  <Application>Microsoft Office Word</Application>
  <DocSecurity>0</DocSecurity>
  <Lines>122</Lines>
  <Paragraphs>34</Paragraphs>
  <ScaleCrop>false</ScaleCrop>
  <HeadingPairs>
    <vt:vector size="10" baseType="variant">
      <vt:variant>
        <vt:lpstr>Tittel</vt:lpstr>
      </vt:variant>
      <vt:variant>
        <vt:i4>1</vt:i4>
      </vt:variant>
      <vt:variant>
        <vt:lpstr>Rubrik</vt:lpstr>
      </vt:variant>
      <vt:variant>
        <vt:i4>1</vt:i4>
      </vt:variant>
      <vt:variant>
        <vt:lpstr>Titel</vt:lpstr>
      </vt:variant>
      <vt:variant>
        <vt:i4>1</vt:i4>
      </vt:variant>
      <vt:variant>
        <vt:lpstr>Otsikko</vt:lpstr>
      </vt:variant>
      <vt:variant>
        <vt:i4>1</vt:i4>
      </vt:variant>
      <vt:variant>
        <vt:lpstr>Title</vt:lpstr>
      </vt:variant>
      <vt:variant>
        <vt:i4>1</vt:i4>
      </vt:variant>
    </vt:vector>
  </HeadingPairs>
  <TitlesOfParts>
    <vt:vector size="5" baseType="lpstr">
      <vt:lpstr>Nordic System Operation Agreement (SOA) – Annex Operational Planning (OP)</vt:lpstr>
      <vt:lpstr>Nordic System Operation Agreement (SOA) – Annex Operational Planning (OP)</vt:lpstr>
      <vt:lpstr>Nordic System Operation Agreement (SOA) – Annex Operational Planning (OP)</vt:lpstr>
      <vt:lpstr>Nordic System Operation Agreement (SOA) – Annex Operational Planning (OP)</vt:lpstr>
      <vt:lpstr>Nordic System Operation Agreement (SOA) – Annex OPS</vt:lpstr>
    </vt:vector>
  </TitlesOfParts>
  <Company>Hewlett-Packard Company</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Nordic System Operation Agreement (SOA) – Annex Operational Planning (OP)</dc:title>
  <dc:creator>Gunnar E. Nilssen</dc:creator>
  <cp:lastModifiedBy>Nina Wahl Gunderson</cp:lastModifiedBy>
  <cp:revision>2</cp:revision>
  <cp:lastPrinted>2019-05-20T13:30:00Z</cp:lastPrinted>
  <dcterms:created xsi:type="dcterms:W3CDTF">2021-11-10T11:33:00Z</dcterms:created>
  <dcterms:modified xsi:type="dcterms:W3CDTF">2021-11-10T11:33:00Z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0x010100AEDC083D6A32E84C94E1F3F69C9D90F7</vt:lpwstr>
  </property>
  <property fmtid="{D5CDD505-2E9C-101B-9397-08002B2CF9AE}" pid="4" name="ProjectRecno">
    <vt:lpwstr>203017</vt:lpwstr>
  </property>
  <property fmtid="{D5CDD505-2E9C-101B-9397-08002B2CF9AE}" pid="5" name="Addo_DocID">
    <vt:lpwstr>5ea0a5ed-4269-45a8-8a2a-5c025934d52c</vt:lpwstr>
  </property>
  <property fmtid="{D5CDD505-2E9C-101B-9397-08002B2CF9AE}" pid="6" name="MSIP_Label_c3d85773-5cd5-4f10-ac4a-b9714896040c_Enabled">
    <vt:lpwstr>true</vt:lpwstr>
  </property>
  <property fmtid="{D5CDD505-2E9C-101B-9397-08002B2CF9AE}" pid="7" name="MSIP_Label_c3d85773-5cd5-4f10-ac4a-b9714896040c_SetDate">
    <vt:lpwstr>2021-10-22T11:58:33Z</vt:lpwstr>
  </property>
  <property fmtid="{D5CDD505-2E9C-101B-9397-08002B2CF9AE}" pid="8" name="MSIP_Label_c3d85773-5cd5-4f10-ac4a-b9714896040c_Method">
    <vt:lpwstr>Privileged</vt:lpwstr>
  </property>
  <property fmtid="{D5CDD505-2E9C-101B-9397-08002B2CF9AE}" pid="9" name="MSIP_Label_c3d85773-5cd5-4f10-ac4a-b9714896040c_Name">
    <vt:lpwstr>Ikke Statnett-informasjon</vt:lpwstr>
  </property>
  <property fmtid="{D5CDD505-2E9C-101B-9397-08002B2CF9AE}" pid="10" name="MSIP_Label_c3d85773-5cd5-4f10-ac4a-b9714896040c_SiteId">
    <vt:lpwstr>a8d61462-f252-44b2-bf6a-d7231960c041</vt:lpwstr>
  </property>
  <property fmtid="{D5CDD505-2E9C-101B-9397-08002B2CF9AE}" pid="11" name="MSIP_Label_c3d85773-5cd5-4f10-ac4a-b9714896040c_ActionId">
    <vt:lpwstr>b87e629e-a3a4-4651-9a68-a264245804f5</vt:lpwstr>
  </property>
  <property fmtid="{D5CDD505-2E9C-101B-9397-08002B2CF9AE}" pid="12" name="MSIP_Label_c3d85773-5cd5-4f10-ac4a-b9714896040c_ContentBits">
    <vt:lpwstr>0</vt:lpwstr>
  </property>
</Properties>
</file>