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topFromText="5528" w:vertAnchor="page" w:horzAnchor="page" w:tblpX="1362" w:tblpY="5104"/>
        <w:tblW w:w="0" w:type="auto"/>
        <w:tblLayout w:type="fixed"/>
        <w:tblCellMar>
          <w:left w:w="0" w:type="dxa"/>
          <w:right w:w="0" w:type="dxa"/>
        </w:tblCellMar>
        <w:tblLook w:val="06A0" w:firstRow="1" w:lastRow="0" w:firstColumn="1" w:lastColumn="0" w:noHBand="1" w:noVBand="1"/>
      </w:tblPr>
      <w:tblGrid>
        <w:gridCol w:w="9524"/>
      </w:tblGrid>
      <w:tr w:rsidR="00696EBB" w:rsidRPr="00C873EE" w14:paraId="189C7E06" w14:textId="77777777" w:rsidTr="008A7DB7">
        <w:tc>
          <w:tcPr>
            <w:tcW w:w="9524" w:type="dxa"/>
            <w:shd w:val="clear" w:color="auto" w:fill="auto"/>
            <w:tcMar>
              <w:top w:w="198" w:type="dxa"/>
            </w:tcMar>
          </w:tcPr>
          <w:p w14:paraId="6E323EB4" w14:textId="4F89AE6F" w:rsidR="00696EBB" w:rsidRPr="007B2B94" w:rsidRDefault="00D3244D" w:rsidP="008A7DB7">
            <w:pPr>
              <w:pStyle w:val="headlineheader"/>
              <w:jc w:val="center"/>
              <w:rPr>
                <w:sz w:val="32"/>
                <w:szCs w:val="32"/>
              </w:rPr>
            </w:pPr>
            <w:r w:rsidRPr="00C873EE">
              <w:rPr>
                <w:sz w:val="32"/>
                <w:szCs w:val="32"/>
              </w:rPr>
              <w:t xml:space="preserve">All TSOs’ of CCR </w:t>
            </w:r>
            <w:bookmarkStart w:id="0" w:name="_Hlk25157666"/>
            <w:r w:rsidRPr="00C873EE">
              <w:rPr>
                <w:sz w:val="32"/>
                <w:szCs w:val="32"/>
              </w:rPr>
              <w:t>Nordic proposal for a methodology for a market-based allocation process of cross-zonal capacity for the exchange of balancing capacity</w:t>
            </w:r>
            <w:bookmarkEnd w:id="0"/>
            <w:r w:rsidRPr="00C873EE">
              <w:rPr>
                <w:sz w:val="32"/>
                <w:szCs w:val="32"/>
              </w:rPr>
              <w:t xml:space="preserve"> in accordance with Article 41(1) of Commission Regulation (EU) 2017/2195 of 23 November 2017</w:t>
            </w:r>
            <w:r w:rsidR="008A7DB7" w:rsidRPr="00C873EE">
              <w:rPr>
                <w:sz w:val="32"/>
                <w:szCs w:val="32"/>
              </w:rPr>
              <w:t xml:space="preserve"> establishing a guideline on electricity balancing</w:t>
            </w:r>
          </w:p>
        </w:tc>
      </w:tr>
    </w:tbl>
    <w:p w14:paraId="1C06DDCE" w14:textId="721321BB" w:rsidR="002A7EA8" w:rsidRPr="007B2B94" w:rsidRDefault="0085684D" w:rsidP="005E1BC2">
      <w:pPr>
        <w:rPr>
          <w:rFonts w:ascii="Arial" w:hAnsi="Arial" w:cs="Arial"/>
          <w:sz w:val="29"/>
          <w:szCs w:val="29"/>
        </w:rPr>
      </w:pPr>
      <w:r w:rsidRPr="00C873EE">
        <w:rPr>
          <w:rFonts w:ascii="Arial" w:hAnsi="Arial" w:cs="Arial"/>
          <w:sz w:val="29"/>
          <w:szCs w:val="29"/>
        </w:rPr>
        <w:t>December</w:t>
      </w:r>
      <w:r w:rsidR="00921CCD" w:rsidRPr="007B2B94">
        <w:rPr>
          <w:rFonts w:ascii="Arial" w:hAnsi="Arial" w:cs="Arial"/>
          <w:sz w:val="29"/>
          <w:szCs w:val="29"/>
        </w:rPr>
        <w:t xml:space="preserve"> 2019</w:t>
      </w:r>
    </w:p>
    <w:p w14:paraId="4E77DA1D" w14:textId="3A969560" w:rsidR="00921CCD" w:rsidRPr="00C873EE" w:rsidRDefault="00921CCD">
      <w:r w:rsidRPr="00C873EE">
        <w:br w:type="page"/>
      </w:r>
    </w:p>
    <w:p w14:paraId="315DD4E0" w14:textId="77777777" w:rsidR="007B3455" w:rsidRPr="00C873EE" w:rsidRDefault="0037308F" w:rsidP="005B6697">
      <w:pPr>
        <w:pStyle w:val="textheader"/>
        <w:rPr>
          <w:lang w:val="en-GB"/>
        </w:rPr>
      </w:pPr>
      <w:r w:rsidRPr="00C873EE">
        <w:rPr>
          <w:lang w:val="en-GB"/>
        </w:rPr>
        <w:lastRenderedPageBreak/>
        <w:t>Contents</w:t>
      </w:r>
    </w:p>
    <w:p w14:paraId="3469570C" w14:textId="4626B55A" w:rsidR="00B20783" w:rsidRDefault="00A934A6">
      <w:pPr>
        <w:pStyle w:val="TOC1"/>
        <w:tabs>
          <w:tab w:val="right" w:leader="dot" w:pos="9514"/>
        </w:tabs>
        <w:rPr>
          <w:rFonts w:asciiTheme="minorHAnsi" w:eastAsiaTheme="minorEastAsia" w:hAnsiTheme="minorHAnsi" w:cstheme="minorBidi"/>
          <w:noProof/>
          <w:lang w:val="nb-NO" w:eastAsia="nb-NO"/>
        </w:rPr>
      </w:pPr>
      <w:r w:rsidRPr="00C873EE">
        <w:fldChar w:fldCharType="begin"/>
      </w:r>
      <w:r w:rsidR="0037308F" w:rsidRPr="00C873EE">
        <w:instrText xml:space="preserve"> TOC \o "1-3" \h \z \u </w:instrText>
      </w:r>
      <w:r w:rsidRPr="00C873EE">
        <w:fldChar w:fldCharType="separate"/>
      </w:r>
      <w:hyperlink w:anchor="_Toc27486676" w:history="1">
        <w:r w:rsidR="00B20783" w:rsidRPr="000F7599">
          <w:rPr>
            <w:rStyle w:val="Hyperlink"/>
            <w:noProof/>
          </w:rPr>
          <w:t>Whereas</w:t>
        </w:r>
        <w:r w:rsidR="00B20783">
          <w:rPr>
            <w:noProof/>
            <w:webHidden/>
          </w:rPr>
          <w:tab/>
        </w:r>
        <w:r w:rsidR="00B20783">
          <w:rPr>
            <w:noProof/>
            <w:webHidden/>
          </w:rPr>
          <w:fldChar w:fldCharType="begin"/>
        </w:r>
        <w:r w:rsidR="00B20783">
          <w:rPr>
            <w:noProof/>
            <w:webHidden/>
          </w:rPr>
          <w:instrText xml:space="preserve"> PAGEREF _Toc27486676 \h </w:instrText>
        </w:r>
        <w:r w:rsidR="00B20783">
          <w:rPr>
            <w:noProof/>
            <w:webHidden/>
          </w:rPr>
        </w:r>
        <w:r w:rsidR="00B20783">
          <w:rPr>
            <w:noProof/>
            <w:webHidden/>
          </w:rPr>
          <w:fldChar w:fldCharType="separate"/>
        </w:r>
        <w:r w:rsidR="00B20783">
          <w:rPr>
            <w:noProof/>
            <w:webHidden/>
          </w:rPr>
          <w:t>3</w:t>
        </w:r>
        <w:r w:rsidR="00B20783">
          <w:rPr>
            <w:noProof/>
            <w:webHidden/>
          </w:rPr>
          <w:fldChar w:fldCharType="end"/>
        </w:r>
      </w:hyperlink>
    </w:p>
    <w:p w14:paraId="483D2A0C" w14:textId="1B638FB1" w:rsidR="00B20783" w:rsidRDefault="0046797F">
      <w:pPr>
        <w:pStyle w:val="TOC2"/>
        <w:tabs>
          <w:tab w:val="right" w:leader="dot" w:pos="9514"/>
        </w:tabs>
        <w:rPr>
          <w:rFonts w:asciiTheme="minorHAnsi" w:eastAsiaTheme="minorEastAsia" w:hAnsiTheme="minorHAnsi" w:cstheme="minorBidi"/>
          <w:noProof/>
          <w:lang w:val="nb-NO" w:eastAsia="nb-NO"/>
        </w:rPr>
      </w:pPr>
      <w:hyperlink w:anchor="_Toc27486677" w:history="1">
        <w:r w:rsidR="00B20783" w:rsidRPr="000F7599">
          <w:rPr>
            <w:rStyle w:val="Hyperlink"/>
            <w:noProof/>
          </w:rPr>
          <w:t>TITLE 1 General provisions</w:t>
        </w:r>
        <w:r w:rsidR="00B20783">
          <w:rPr>
            <w:noProof/>
            <w:webHidden/>
          </w:rPr>
          <w:tab/>
        </w:r>
        <w:r w:rsidR="00B20783">
          <w:rPr>
            <w:noProof/>
            <w:webHidden/>
          </w:rPr>
          <w:fldChar w:fldCharType="begin"/>
        </w:r>
        <w:r w:rsidR="00B20783">
          <w:rPr>
            <w:noProof/>
            <w:webHidden/>
          </w:rPr>
          <w:instrText xml:space="preserve"> PAGEREF _Toc27486677 \h </w:instrText>
        </w:r>
        <w:r w:rsidR="00B20783">
          <w:rPr>
            <w:noProof/>
            <w:webHidden/>
          </w:rPr>
        </w:r>
        <w:r w:rsidR="00B20783">
          <w:rPr>
            <w:noProof/>
            <w:webHidden/>
          </w:rPr>
          <w:fldChar w:fldCharType="separate"/>
        </w:r>
        <w:r w:rsidR="00B20783">
          <w:rPr>
            <w:noProof/>
            <w:webHidden/>
          </w:rPr>
          <w:t>6</w:t>
        </w:r>
        <w:r w:rsidR="00B20783">
          <w:rPr>
            <w:noProof/>
            <w:webHidden/>
          </w:rPr>
          <w:fldChar w:fldCharType="end"/>
        </w:r>
      </w:hyperlink>
    </w:p>
    <w:p w14:paraId="6D82DB29" w14:textId="734806D6" w:rsidR="00B20783" w:rsidRDefault="0046797F">
      <w:pPr>
        <w:pStyle w:val="TOC2"/>
        <w:tabs>
          <w:tab w:val="right" w:leader="dot" w:pos="9514"/>
        </w:tabs>
        <w:rPr>
          <w:rFonts w:asciiTheme="minorHAnsi" w:eastAsiaTheme="minorEastAsia" w:hAnsiTheme="minorHAnsi" w:cstheme="minorBidi"/>
          <w:noProof/>
          <w:lang w:val="nb-NO" w:eastAsia="nb-NO"/>
        </w:rPr>
      </w:pPr>
      <w:hyperlink w:anchor="_Toc27486678" w:history="1">
        <w:r w:rsidR="00B20783" w:rsidRPr="000F7599">
          <w:rPr>
            <w:rStyle w:val="Hyperlink"/>
            <w:noProof/>
          </w:rPr>
          <w:t>Article 1 Subject matter and scope</w:t>
        </w:r>
        <w:r w:rsidR="00B20783">
          <w:rPr>
            <w:noProof/>
            <w:webHidden/>
          </w:rPr>
          <w:tab/>
        </w:r>
        <w:r w:rsidR="00B20783">
          <w:rPr>
            <w:noProof/>
            <w:webHidden/>
          </w:rPr>
          <w:fldChar w:fldCharType="begin"/>
        </w:r>
        <w:r w:rsidR="00B20783">
          <w:rPr>
            <w:noProof/>
            <w:webHidden/>
          </w:rPr>
          <w:instrText xml:space="preserve"> PAGEREF _Toc27486678 \h </w:instrText>
        </w:r>
        <w:r w:rsidR="00B20783">
          <w:rPr>
            <w:noProof/>
            <w:webHidden/>
          </w:rPr>
        </w:r>
        <w:r w:rsidR="00B20783">
          <w:rPr>
            <w:noProof/>
            <w:webHidden/>
          </w:rPr>
          <w:fldChar w:fldCharType="separate"/>
        </w:r>
        <w:r w:rsidR="00B20783">
          <w:rPr>
            <w:noProof/>
            <w:webHidden/>
          </w:rPr>
          <w:t>6</w:t>
        </w:r>
        <w:r w:rsidR="00B20783">
          <w:rPr>
            <w:noProof/>
            <w:webHidden/>
          </w:rPr>
          <w:fldChar w:fldCharType="end"/>
        </w:r>
      </w:hyperlink>
    </w:p>
    <w:p w14:paraId="501E94B4" w14:textId="03A491B5" w:rsidR="00B20783" w:rsidRDefault="0046797F">
      <w:pPr>
        <w:pStyle w:val="TOC2"/>
        <w:tabs>
          <w:tab w:val="right" w:leader="dot" w:pos="9514"/>
        </w:tabs>
        <w:rPr>
          <w:rFonts w:asciiTheme="minorHAnsi" w:eastAsiaTheme="minorEastAsia" w:hAnsiTheme="minorHAnsi" w:cstheme="minorBidi"/>
          <w:noProof/>
          <w:lang w:val="nb-NO" w:eastAsia="nb-NO"/>
        </w:rPr>
      </w:pPr>
      <w:hyperlink w:anchor="_Toc27486679" w:history="1">
        <w:r w:rsidR="00B20783" w:rsidRPr="000F7599">
          <w:rPr>
            <w:rStyle w:val="Hyperlink"/>
            <w:noProof/>
          </w:rPr>
          <w:t>Article 2 Definitions and interpretation</w:t>
        </w:r>
        <w:r w:rsidR="00B20783">
          <w:rPr>
            <w:noProof/>
            <w:webHidden/>
          </w:rPr>
          <w:tab/>
        </w:r>
        <w:r w:rsidR="00B20783">
          <w:rPr>
            <w:noProof/>
            <w:webHidden/>
          </w:rPr>
          <w:fldChar w:fldCharType="begin"/>
        </w:r>
        <w:r w:rsidR="00B20783">
          <w:rPr>
            <w:noProof/>
            <w:webHidden/>
          </w:rPr>
          <w:instrText xml:space="preserve"> PAGEREF _Toc27486679 \h </w:instrText>
        </w:r>
        <w:r w:rsidR="00B20783">
          <w:rPr>
            <w:noProof/>
            <w:webHidden/>
          </w:rPr>
        </w:r>
        <w:r w:rsidR="00B20783">
          <w:rPr>
            <w:noProof/>
            <w:webHidden/>
          </w:rPr>
          <w:fldChar w:fldCharType="separate"/>
        </w:r>
        <w:r w:rsidR="00B20783">
          <w:rPr>
            <w:noProof/>
            <w:webHidden/>
          </w:rPr>
          <w:t>6</w:t>
        </w:r>
        <w:r w:rsidR="00B20783">
          <w:rPr>
            <w:noProof/>
            <w:webHidden/>
          </w:rPr>
          <w:fldChar w:fldCharType="end"/>
        </w:r>
      </w:hyperlink>
    </w:p>
    <w:p w14:paraId="403B8AF1" w14:textId="67F46E9F" w:rsidR="00B20783" w:rsidRDefault="0046797F">
      <w:pPr>
        <w:pStyle w:val="TOC2"/>
        <w:tabs>
          <w:tab w:val="right" w:leader="dot" w:pos="9514"/>
        </w:tabs>
        <w:rPr>
          <w:rFonts w:asciiTheme="minorHAnsi" w:eastAsiaTheme="minorEastAsia" w:hAnsiTheme="minorHAnsi" w:cstheme="minorBidi"/>
          <w:noProof/>
          <w:lang w:val="nb-NO" w:eastAsia="nb-NO"/>
        </w:rPr>
      </w:pPr>
      <w:hyperlink w:anchor="_Toc27486680" w:history="1">
        <w:r w:rsidR="00B20783" w:rsidRPr="000F7599">
          <w:rPr>
            <w:rStyle w:val="Hyperlink"/>
            <w:noProof/>
          </w:rPr>
          <w:t>TITLE 2 Proposal for a market-based allocation process of CZC for the exchange of balancing capacity</w:t>
        </w:r>
        <w:r w:rsidR="00B20783">
          <w:rPr>
            <w:noProof/>
            <w:webHidden/>
          </w:rPr>
          <w:tab/>
        </w:r>
        <w:r w:rsidR="00B20783">
          <w:rPr>
            <w:noProof/>
            <w:webHidden/>
          </w:rPr>
          <w:fldChar w:fldCharType="begin"/>
        </w:r>
        <w:r w:rsidR="00B20783">
          <w:rPr>
            <w:noProof/>
            <w:webHidden/>
          </w:rPr>
          <w:instrText xml:space="preserve"> PAGEREF _Toc27486680 \h </w:instrText>
        </w:r>
        <w:r w:rsidR="00B20783">
          <w:rPr>
            <w:noProof/>
            <w:webHidden/>
          </w:rPr>
        </w:r>
        <w:r w:rsidR="00B20783">
          <w:rPr>
            <w:noProof/>
            <w:webHidden/>
          </w:rPr>
          <w:fldChar w:fldCharType="separate"/>
        </w:r>
        <w:r w:rsidR="00B20783">
          <w:rPr>
            <w:noProof/>
            <w:webHidden/>
          </w:rPr>
          <w:t>7</w:t>
        </w:r>
        <w:r w:rsidR="00B20783">
          <w:rPr>
            <w:noProof/>
            <w:webHidden/>
          </w:rPr>
          <w:fldChar w:fldCharType="end"/>
        </w:r>
      </w:hyperlink>
    </w:p>
    <w:p w14:paraId="474E1951" w14:textId="26F90F66" w:rsidR="00B20783" w:rsidRDefault="0046797F">
      <w:pPr>
        <w:pStyle w:val="TOC2"/>
        <w:tabs>
          <w:tab w:val="right" w:leader="dot" w:pos="9514"/>
        </w:tabs>
        <w:rPr>
          <w:rFonts w:asciiTheme="minorHAnsi" w:eastAsiaTheme="minorEastAsia" w:hAnsiTheme="minorHAnsi" w:cstheme="minorBidi"/>
          <w:noProof/>
          <w:lang w:val="nb-NO" w:eastAsia="nb-NO"/>
        </w:rPr>
      </w:pPr>
      <w:hyperlink w:anchor="_Toc27486681" w:history="1">
        <w:r w:rsidR="00B20783" w:rsidRPr="000F7599">
          <w:rPr>
            <w:rStyle w:val="Hyperlink"/>
            <w:noProof/>
          </w:rPr>
          <w:t>Article 3 Notification process for the use of a market-based allocation process</w:t>
        </w:r>
        <w:r w:rsidR="00B20783">
          <w:rPr>
            <w:noProof/>
            <w:webHidden/>
          </w:rPr>
          <w:tab/>
        </w:r>
        <w:r w:rsidR="00B20783">
          <w:rPr>
            <w:noProof/>
            <w:webHidden/>
          </w:rPr>
          <w:fldChar w:fldCharType="begin"/>
        </w:r>
        <w:r w:rsidR="00B20783">
          <w:rPr>
            <w:noProof/>
            <w:webHidden/>
          </w:rPr>
          <w:instrText xml:space="preserve"> PAGEREF _Toc27486681 \h </w:instrText>
        </w:r>
        <w:r w:rsidR="00B20783">
          <w:rPr>
            <w:noProof/>
            <w:webHidden/>
          </w:rPr>
        </w:r>
        <w:r w:rsidR="00B20783">
          <w:rPr>
            <w:noProof/>
            <w:webHidden/>
          </w:rPr>
          <w:fldChar w:fldCharType="separate"/>
        </w:r>
        <w:r w:rsidR="00B20783">
          <w:rPr>
            <w:noProof/>
            <w:webHidden/>
          </w:rPr>
          <w:t>7</w:t>
        </w:r>
        <w:r w:rsidR="00B20783">
          <w:rPr>
            <w:noProof/>
            <w:webHidden/>
          </w:rPr>
          <w:fldChar w:fldCharType="end"/>
        </w:r>
      </w:hyperlink>
    </w:p>
    <w:p w14:paraId="1A2E0322" w14:textId="080845D6" w:rsidR="00B20783" w:rsidRDefault="0046797F">
      <w:pPr>
        <w:pStyle w:val="TOC2"/>
        <w:tabs>
          <w:tab w:val="right" w:leader="dot" w:pos="9514"/>
        </w:tabs>
        <w:rPr>
          <w:rFonts w:asciiTheme="minorHAnsi" w:eastAsiaTheme="minorEastAsia" w:hAnsiTheme="minorHAnsi" w:cstheme="minorBidi"/>
          <w:noProof/>
          <w:lang w:val="nb-NO" w:eastAsia="nb-NO"/>
        </w:rPr>
      </w:pPr>
      <w:hyperlink w:anchor="_Toc27486682" w:history="1">
        <w:r w:rsidR="00B20783" w:rsidRPr="000F7599">
          <w:rPr>
            <w:rStyle w:val="Hyperlink"/>
            <w:noProof/>
          </w:rPr>
          <w:t>Article 4 Maximum volume of allocated CZC for the exchange of balancing capacity</w:t>
        </w:r>
        <w:r w:rsidR="00B20783">
          <w:rPr>
            <w:noProof/>
            <w:webHidden/>
          </w:rPr>
          <w:tab/>
        </w:r>
        <w:r w:rsidR="00B20783">
          <w:rPr>
            <w:noProof/>
            <w:webHidden/>
          </w:rPr>
          <w:fldChar w:fldCharType="begin"/>
        </w:r>
        <w:r w:rsidR="00B20783">
          <w:rPr>
            <w:noProof/>
            <w:webHidden/>
          </w:rPr>
          <w:instrText xml:space="preserve"> PAGEREF _Toc27486682 \h </w:instrText>
        </w:r>
        <w:r w:rsidR="00B20783">
          <w:rPr>
            <w:noProof/>
            <w:webHidden/>
          </w:rPr>
        </w:r>
        <w:r w:rsidR="00B20783">
          <w:rPr>
            <w:noProof/>
            <w:webHidden/>
          </w:rPr>
          <w:fldChar w:fldCharType="separate"/>
        </w:r>
        <w:r w:rsidR="00B20783">
          <w:rPr>
            <w:noProof/>
            <w:webHidden/>
          </w:rPr>
          <w:t>7</w:t>
        </w:r>
        <w:r w:rsidR="00B20783">
          <w:rPr>
            <w:noProof/>
            <w:webHidden/>
          </w:rPr>
          <w:fldChar w:fldCharType="end"/>
        </w:r>
      </w:hyperlink>
    </w:p>
    <w:p w14:paraId="723AE67F" w14:textId="0DA80772" w:rsidR="00B20783" w:rsidRDefault="0046797F">
      <w:pPr>
        <w:pStyle w:val="TOC2"/>
        <w:tabs>
          <w:tab w:val="right" w:leader="dot" w:pos="9514"/>
        </w:tabs>
        <w:rPr>
          <w:rFonts w:asciiTheme="minorHAnsi" w:eastAsiaTheme="minorEastAsia" w:hAnsiTheme="minorHAnsi" w:cstheme="minorBidi"/>
          <w:noProof/>
          <w:lang w:val="nb-NO" w:eastAsia="nb-NO"/>
        </w:rPr>
      </w:pPr>
      <w:hyperlink w:anchor="_Toc27486683" w:history="1">
        <w:r w:rsidR="00B20783" w:rsidRPr="000F7599">
          <w:rPr>
            <w:rStyle w:val="Hyperlink"/>
            <w:noProof/>
          </w:rPr>
          <w:t>Article 5 Determination of the market value of CZC for the exchange of energy</w:t>
        </w:r>
        <w:r w:rsidR="00B20783">
          <w:rPr>
            <w:noProof/>
            <w:webHidden/>
          </w:rPr>
          <w:tab/>
        </w:r>
        <w:r w:rsidR="00B20783">
          <w:rPr>
            <w:noProof/>
            <w:webHidden/>
          </w:rPr>
          <w:fldChar w:fldCharType="begin"/>
        </w:r>
        <w:r w:rsidR="00B20783">
          <w:rPr>
            <w:noProof/>
            <w:webHidden/>
          </w:rPr>
          <w:instrText xml:space="preserve"> PAGEREF _Toc27486683 \h </w:instrText>
        </w:r>
        <w:r w:rsidR="00B20783">
          <w:rPr>
            <w:noProof/>
            <w:webHidden/>
          </w:rPr>
        </w:r>
        <w:r w:rsidR="00B20783">
          <w:rPr>
            <w:noProof/>
            <w:webHidden/>
          </w:rPr>
          <w:fldChar w:fldCharType="separate"/>
        </w:r>
        <w:r w:rsidR="00B20783">
          <w:rPr>
            <w:noProof/>
            <w:webHidden/>
          </w:rPr>
          <w:t>7</w:t>
        </w:r>
        <w:r w:rsidR="00B20783">
          <w:rPr>
            <w:noProof/>
            <w:webHidden/>
          </w:rPr>
          <w:fldChar w:fldCharType="end"/>
        </w:r>
      </w:hyperlink>
    </w:p>
    <w:p w14:paraId="58A98A59" w14:textId="18F3BFE5" w:rsidR="00B20783" w:rsidRDefault="0046797F">
      <w:pPr>
        <w:pStyle w:val="TOC2"/>
        <w:tabs>
          <w:tab w:val="right" w:leader="dot" w:pos="9514"/>
        </w:tabs>
        <w:rPr>
          <w:rFonts w:asciiTheme="minorHAnsi" w:eastAsiaTheme="minorEastAsia" w:hAnsiTheme="minorHAnsi" w:cstheme="minorBidi"/>
          <w:noProof/>
          <w:lang w:val="nb-NO" w:eastAsia="nb-NO"/>
        </w:rPr>
      </w:pPr>
      <w:hyperlink w:anchor="_Toc27486684" w:history="1">
        <w:r w:rsidR="00B20783" w:rsidRPr="000F7599">
          <w:rPr>
            <w:rStyle w:val="Hyperlink"/>
            <w:noProof/>
          </w:rPr>
          <w:t>Article 6 Determination of the allocated volume of CZC for the exchange of balancing capacity</w:t>
        </w:r>
        <w:r w:rsidR="00B20783">
          <w:rPr>
            <w:noProof/>
            <w:webHidden/>
          </w:rPr>
          <w:tab/>
        </w:r>
        <w:r w:rsidR="00B20783">
          <w:rPr>
            <w:noProof/>
            <w:webHidden/>
          </w:rPr>
          <w:fldChar w:fldCharType="begin"/>
        </w:r>
        <w:r w:rsidR="00B20783">
          <w:rPr>
            <w:noProof/>
            <w:webHidden/>
          </w:rPr>
          <w:instrText xml:space="preserve"> PAGEREF _Toc27486684 \h </w:instrText>
        </w:r>
        <w:r w:rsidR="00B20783">
          <w:rPr>
            <w:noProof/>
            <w:webHidden/>
          </w:rPr>
        </w:r>
        <w:r w:rsidR="00B20783">
          <w:rPr>
            <w:noProof/>
            <w:webHidden/>
          </w:rPr>
          <w:fldChar w:fldCharType="separate"/>
        </w:r>
        <w:r w:rsidR="00B20783">
          <w:rPr>
            <w:noProof/>
            <w:webHidden/>
          </w:rPr>
          <w:t>8</w:t>
        </w:r>
        <w:r w:rsidR="00B20783">
          <w:rPr>
            <w:noProof/>
            <w:webHidden/>
          </w:rPr>
          <w:fldChar w:fldCharType="end"/>
        </w:r>
      </w:hyperlink>
    </w:p>
    <w:p w14:paraId="7B2D6E0B" w14:textId="3D6989F4" w:rsidR="00B20783" w:rsidRDefault="0046797F">
      <w:pPr>
        <w:pStyle w:val="TOC2"/>
        <w:tabs>
          <w:tab w:val="right" w:leader="dot" w:pos="9514"/>
        </w:tabs>
        <w:rPr>
          <w:rFonts w:asciiTheme="minorHAnsi" w:eastAsiaTheme="minorEastAsia" w:hAnsiTheme="minorHAnsi" w:cstheme="minorBidi"/>
          <w:noProof/>
          <w:lang w:val="nb-NO" w:eastAsia="nb-NO"/>
        </w:rPr>
      </w:pPr>
      <w:hyperlink w:anchor="_Toc27486685" w:history="1">
        <w:r w:rsidR="00B20783" w:rsidRPr="000F7599">
          <w:rPr>
            <w:rStyle w:val="Hyperlink"/>
            <w:noProof/>
          </w:rPr>
          <w:t>Article 7 Firmness regime</w:t>
        </w:r>
        <w:r w:rsidR="00B20783">
          <w:rPr>
            <w:noProof/>
            <w:webHidden/>
          </w:rPr>
          <w:tab/>
        </w:r>
        <w:r w:rsidR="00B20783">
          <w:rPr>
            <w:noProof/>
            <w:webHidden/>
          </w:rPr>
          <w:fldChar w:fldCharType="begin"/>
        </w:r>
        <w:r w:rsidR="00B20783">
          <w:rPr>
            <w:noProof/>
            <w:webHidden/>
          </w:rPr>
          <w:instrText xml:space="preserve"> PAGEREF _Toc27486685 \h </w:instrText>
        </w:r>
        <w:r w:rsidR="00B20783">
          <w:rPr>
            <w:noProof/>
            <w:webHidden/>
          </w:rPr>
        </w:r>
        <w:r w:rsidR="00B20783">
          <w:rPr>
            <w:noProof/>
            <w:webHidden/>
          </w:rPr>
          <w:fldChar w:fldCharType="separate"/>
        </w:r>
        <w:r w:rsidR="00B20783">
          <w:rPr>
            <w:noProof/>
            <w:webHidden/>
          </w:rPr>
          <w:t>9</w:t>
        </w:r>
        <w:r w:rsidR="00B20783">
          <w:rPr>
            <w:noProof/>
            <w:webHidden/>
          </w:rPr>
          <w:fldChar w:fldCharType="end"/>
        </w:r>
      </w:hyperlink>
    </w:p>
    <w:p w14:paraId="18E3838D" w14:textId="1A9C20B3" w:rsidR="00B20783" w:rsidRDefault="0046797F">
      <w:pPr>
        <w:pStyle w:val="TOC2"/>
        <w:tabs>
          <w:tab w:val="right" w:leader="dot" w:pos="9514"/>
        </w:tabs>
        <w:rPr>
          <w:rFonts w:asciiTheme="minorHAnsi" w:eastAsiaTheme="minorEastAsia" w:hAnsiTheme="minorHAnsi" w:cstheme="minorBidi"/>
          <w:noProof/>
          <w:lang w:val="nb-NO" w:eastAsia="nb-NO"/>
        </w:rPr>
      </w:pPr>
      <w:hyperlink w:anchor="_Toc27486686" w:history="1">
        <w:r w:rsidR="00B20783" w:rsidRPr="000F7599">
          <w:rPr>
            <w:rStyle w:val="Hyperlink"/>
            <w:noProof/>
          </w:rPr>
          <w:t>Article 8 The price of CZC and the sharing of congestion income</w:t>
        </w:r>
        <w:r w:rsidR="00B20783">
          <w:rPr>
            <w:noProof/>
            <w:webHidden/>
          </w:rPr>
          <w:tab/>
        </w:r>
        <w:r w:rsidR="00B20783">
          <w:rPr>
            <w:noProof/>
            <w:webHidden/>
          </w:rPr>
          <w:fldChar w:fldCharType="begin"/>
        </w:r>
        <w:r w:rsidR="00B20783">
          <w:rPr>
            <w:noProof/>
            <w:webHidden/>
          </w:rPr>
          <w:instrText xml:space="preserve"> PAGEREF _Toc27486686 \h </w:instrText>
        </w:r>
        <w:r w:rsidR="00B20783">
          <w:rPr>
            <w:noProof/>
            <w:webHidden/>
          </w:rPr>
        </w:r>
        <w:r w:rsidR="00B20783">
          <w:rPr>
            <w:noProof/>
            <w:webHidden/>
          </w:rPr>
          <w:fldChar w:fldCharType="separate"/>
        </w:r>
        <w:r w:rsidR="00B20783">
          <w:rPr>
            <w:noProof/>
            <w:webHidden/>
          </w:rPr>
          <w:t>9</w:t>
        </w:r>
        <w:r w:rsidR="00B20783">
          <w:rPr>
            <w:noProof/>
            <w:webHidden/>
          </w:rPr>
          <w:fldChar w:fldCharType="end"/>
        </w:r>
      </w:hyperlink>
    </w:p>
    <w:p w14:paraId="6B3A6CE5" w14:textId="0C10300E" w:rsidR="00B20783" w:rsidRDefault="0046797F">
      <w:pPr>
        <w:pStyle w:val="TOC2"/>
        <w:tabs>
          <w:tab w:val="right" w:leader="dot" w:pos="9514"/>
        </w:tabs>
        <w:rPr>
          <w:rFonts w:asciiTheme="minorHAnsi" w:eastAsiaTheme="minorEastAsia" w:hAnsiTheme="minorHAnsi" w:cstheme="minorBidi"/>
          <w:noProof/>
          <w:lang w:val="nb-NO" w:eastAsia="nb-NO"/>
        </w:rPr>
      </w:pPr>
      <w:hyperlink w:anchor="_Toc27486687" w:history="1">
        <w:r w:rsidR="00B20783" w:rsidRPr="000F7599">
          <w:rPr>
            <w:rStyle w:val="Hyperlink"/>
            <w:noProof/>
          </w:rPr>
          <w:t>Article 9 Publication of information</w:t>
        </w:r>
        <w:r w:rsidR="00B20783">
          <w:rPr>
            <w:noProof/>
            <w:webHidden/>
          </w:rPr>
          <w:tab/>
        </w:r>
        <w:r w:rsidR="00B20783">
          <w:rPr>
            <w:noProof/>
            <w:webHidden/>
          </w:rPr>
          <w:fldChar w:fldCharType="begin"/>
        </w:r>
        <w:r w:rsidR="00B20783">
          <w:rPr>
            <w:noProof/>
            <w:webHidden/>
          </w:rPr>
          <w:instrText xml:space="preserve"> PAGEREF _Toc27486687 \h </w:instrText>
        </w:r>
        <w:r w:rsidR="00B20783">
          <w:rPr>
            <w:noProof/>
            <w:webHidden/>
          </w:rPr>
        </w:r>
        <w:r w:rsidR="00B20783">
          <w:rPr>
            <w:noProof/>
            <w:webHidden/>
          </w:rPr>
          <w:fldChar w:fldCharType="separate"/>
        </w:r>
        <w:r w:rsidR="00B20783">
          <w:rPr>
            <w:noProof/>
            <w:webHidden/>
          </w:rPr>
          <w:t>10</w:t>
        </w:r>
        <w:r w:rsidR="00B20783">
          <w:rPr>
            <w:noProof/>
            <w:webHidden/>
          </w:rPr>
          <w:fldChar w:fldCharType="end"/>
        </w:r>
      </w:hyperlink>
    </w:p>
    <w:p w14:paraId="3B7081A1" w14:textId="05FE9815" w:rsidR="00B20783" w:rsidRDefault="0046797F">
      <w:pPr>
        <w:pStyle w:val="TOC2"/>
        <w:tabs>
          <w:tab w:val="right" w:leader="dot" w:pos="9514"/>
        </w:tabs>
        <w:rPr>
          <w:rFonts w:asciiTheme="minorHAnsi" w:eastAsiaTheme="minorEastAsia" w:hAnsiTheme="minorHAnsi" w:cstheme="minorBidi"/>
          <w:noProof/>
          <w:lang w:val="nb-NO" w:eastAsia="nb-NO"/>
        </w:rPr>
      </w:pPr>
      <w:hyperlink w:anchor="_Toc27486688" w:history="1">
        <w:r w:rsidR="00B20783" w:rsidRPr="000F7599">
          <w:rPr>
            <w:rStyle w:val="Hyperlink"/>
            <w:noProof/>
          </w:rPr>
          <w:t>TITLE 3 Final provisions</w:t>
        </w:r>
        <w:r w:rsidR="00B20783">
          <w:rPr>
            <w:noProof/>
            <w:webHidden/>
          </w:rPr>
          <w:tab/>
        </w:r>
        <w:r w:rsidR="00B20783">
          <w:rPr>
            <w:noProof/>
            <w:webHidden/>
          </w:rPr>
          <w:fldChar w:fldCharType="begin"/>
        </w:r>
        <w:r w:rsidR="00B20783">
          <w:rPr>
            <w:noProof/>
            <w:webHidden/>
          </w:rPr>
          <w:instrText xml:space="preserve"> PAGEREF _Toc27486688 \h </w:instrText>
        </w:r>
        <w:r w:rsidR="00B20783">
          <w:rPr>
            <w:noProof/>
            <w:webHidden/>
          </w:rPr>
        </w:r>
        <w:r w:rsidR="00B20783">
          <w:rPr>
            <w:noProof/>
            <w:webHidden/>
          </w:rPr>
          <w:fldChar w:fldCharType="separate"/>
        </w:r>
        <w:r w:rsidR="00B20783">
          <w:rPr>
            <w:noProof/>
            <w:webHidden/>
          </w:rPr>
          <w:t>10</w:t>
        </w:r>
        <w:r w:rsidR="00B20783">
          <w:rPr>
            <w:noProof/>
            <w:webHidden/>
          </w:rPr>
          <w:fldChar w:fldCharType="end"/>
        </w:r>
      </w:hyperlink>
    </w:p>
    <w:p w14:paraId="6629E1D1" w14:textId="68FB233B" w:rsidR="00B20783" w:rsidRDefault="0046797F">
      <w:pPr>
        <w:pStyle w:val="TOC2"/>
        <w:tabs>
          <w:tab w:val="right" w:leader="dot" w:pos="9514"/>
        </w:tabs>
        <w:rPr>
          <w:rFonts w:asciiTheme="minorHAnsi" w:eastAsiaTheme="minorEastAsia" w:hAnsiTheme="minorHAnsi" w:cstheme="minorBidi"/>
          <w:noProof/>
          <w:lang w:val="nb-NO" w:eastAsia="nb-NO"/>
        </w:rPr>
      </w:pPr>
      <w:hyperlink w:anchor="_Toc27486689" w:history="1">
        <w:r w:rsidR="00B20783" w:rsidRPr="000F7599">
          <w:rPr>
            <w:rStyle w:val="Hyperlink"/>
            <w:noProof/>
          </w:rPr>
          <w:t>Article 10 Publication and implementation of the Proposal</w:t>
        </w:r>
        <w:r w:rsidR="00B20783">
          <w:rPr>
            <w:noProof/>
            <w:webHidden/>
          </w:rPr>
          <w:tab/>
        </w:r>
        <w:r w:rsidR="00B20783">
          <w:rPr>
            <w:noProof/>
            <w:webHidden/>
          </w:rPr>
          <w:fldChar w:fldCharType="begin"/>
        </w:r>
        <w:r w:rsidR="00B20783">
          <w:rPr>
            <w:noProof/>
            <w:webHidden/>
          </w:rPr>
          <w:instrText xml:space="preserve"> PAGEREF _Toc27486689 \h </w:instrText>
        </w:r>
        <w:r w:rsidR="00B20783">
          <w:rPr>
            <w:noProof/>
            <w:webHidden/>
          </w:rPr>
        </w:r>
        <w:r w:rsidR="00B20783">
          <w:rPr>
            <w:noProof/>
            <w:webHidden/>
          </w:rPr>
          <w:fldChar w:fldCharType="separate"/>
        </w:r>
        <w:r w:rsidR="00B20783">
          <w:rPr>
            <w:noProof/>
            <w:webHidden/>
          </w:rPr>
          <w:t>10</w:t>
        </w:r>
        <w:r w:rsidR="00B20783">
          <w:rPr>
            <w:noProof/>
            <w:webHidden/>
          </w:rPr>
          <w:fldChar w:fldCharType="end"/>
        </w:r>
      </w:hyperlink>
    </w:p>
    <w:p w14:paraId="6FC8F114" w14:textId="7F0F5AC2" w:rsidR="00B20783" w:rsidRDefault="0046797F">
      <w:pPr>
        <w:pStyle w:val="TOC2"/>
        <w:tabs>
          <w:tab w:val="right" w:leader="dot" w:pos="9514"/>
        </w:tabs>
        <w:rPr>
          <w:rFonts w:asciiTheme="minorHAnsi" w:eastAsiaTheme="minorEastAsia" w:hAnsiTheme="minorHAnsi" w:cstheme="minorBidi"/>
          <w:noProof/>
          <w:lang w:val="nb-NO" w:eastAsia="nb-NO"/>
        </w:rPr>
      </w:pPr>
      <w:hyperlink w:anchor="_Toc27486690" w:history="1">
        <w:r w:rsidR="00B20783" w:rsidRPr="000F7599">
          <w:rPr>
            <w:rStyle w:val="Hyperlink"/>
            <w:noProof/>
          </w:rPr>
          <w:t>Article 11 Language</w:t>
        </w:r>
        <w:r w:rsidR="00B20783">
          <w:rPr>
            <w:noProof/>
            <w:webHidden/>
          </w:rPr>
          <w:tab/>
        </w:r>
        <w:r w:rsidR="00B20783">
          <w:rPr>
            <w:noProof/>
            <w:webHidden/>
          </w:rPr>
          <w:fldChar w:fldCharType="begin"/>
        </w:r>
        <w:r w:rsidR="00B20783">
          <w:rPr>
            <w:noProof/>
            <w:webHidden/>
          </w:rPr>
          <w:instrText xml:space="preserve"> PAGEREF _Toc27486690 \h </w:instrText>
        </w:r>
        <w:r w:rsidR="00B20783">
          <w:rPr>
            <w:noProof/>
            <w:webHidden/>
          </w:rPr>
        </w:r>
        <w:r w:rsidR="00B20783">
          <w:rPr>
            <w:noProof/>
            <w:webHidden/>
          </w:rPr>
          <w:fldChar w:fldCharType="separate"/>
        </w:r>
        <w:r w:rsidR="00B20783">
          <w:rPr>
            <w:noProof/>
            <w:webHidden/>
          </w:rPr>
          <w:t>11</w:t>
        </w:r>
        <w:r w:rsidR="00B20783">
          <w:rPr>
            <w:noProof/>
            <w:webHidden/>
          </w:rPr>
          <w:fldChar w:fldCharType="end"/>
        </w:r>
      </w:hyperlink>
    </w:p>
    <w:p w14:paraId="658F6A82" w14:textId="5F6B5A05" w:rsidR="0037308F" w:rsidRPr="00C873EE" w:rsidRDefault="00A934A6">
      <w:r w:rsidRPr="00C873EE">
        <w:rPr>
          <w:b/>
          <w:bCs/>
        </w:rPr>
        <w:fldChar w:fldCharType="end"/>
      </w:r>
    </w:p>
    <w:p w14:paraId="49F5F902" w14:textId="77777777" w:rsidR="005E1BC2" w:rsidRPr="00C873EE" w:rsidRDefault="005E1BC2" w:rsidP="005E1BC2"/>
    <w:p w14:paraId="7C5E9E42" w14:textId="77777777" w:rsidR="00C64F44" w:rsidRPr="00C873EE" w:rsidRDefault="004B6993" w:rsidP="00C64F44">
      <w:pPr>
        <w:spacing w:after="120"/>
        <w:jc w:val="both"/>
      </w:pPr>
      <w:r w:rsidRPr="00C873EE">
        <w:br w:type="page"/>
      </w:r>
      <w:bookmarkStart w:id="1" w:name="_Toc378091729"/>
      <w:r w:rsidR="00C64F44" w:rsidRPr="00C873EE">
        <w:lastRenderedPageBreak/>
        <w:t xml:space="preserve">All TSOs of </w:t>
      </w:r>
      <w:r w:rsidR="004761AD" w:rsidRPr="00C873EE">
        <w:t xml:space="preserve">the </w:t>
      </w:r>
      <w:r w:rsidR="00C64F44" w:rsidRPr="00C873EE">
        <w:t>Nordic Capacity Calculation Region, taking into account the following,</w:t>
      </w:r>
    </w:p>
    <w:p w14:paraId="54EA56B1" w14:textId="77777777" w:rsidR="00C64F44" w:rsidRPr="00C873EE" w:rsidRDefault="00C64F44" w:rsidP="00C64F44">
      <w:pPr>
        <w:pStyle w:val="headline1"/>
      </w:pPr>
      <w:bookmarkStart w:id="2" w:name="_Toc432586767"/>
      <w:bookmarkStart w:id="3" w:name="_Toc432586787"/>
      <w:bookmarkStart w:id="4" w:name="_Toc5296532"/>
      <w:bookmarkStart w:id="5" w:name="_Toc27486676"/>
      <w:r w:rsidRPr="00C873EE">
        <w:t>Whereas</w:t>
      </w:r>
      <w:bookmarkEnd w:id="2"/>
      <w:bookmarkEnd w:id="3"/>
      <w:bookmarkEnd w:id="4"/>
      <w:bookmarkEnd w:id="5"/>
    </w:p>
    <w:p w14:paraId="3D0CA2F0" w14:textId="7D72ECEB" w:rsidR="00C64F44" w:rsidRPr="00C873EE" w:rsidRDefault="00C64F44" w:rsidP="00C64F44">
      <w:pPr>
        <w:pStyle w:val="ListParagraph"/>
        <w:numPr>
          <w:ilvl w:val="0"/>
          <w:numId w:val="5"/>
        </w:numPr>
        <w:spacing w:after="120"/>
        <w:ind w:left="1077" w:hanging="720"/>
        <w:rPr>
          <w:lang w:val="en-GB"/>
        </w:rPr>
      </w:pPr>
      <w:r w:rsidRPr="00C873EE">
        <w:rPr>
          <w:lang w:val="en-GB"/>
        </w:rPr>
        <w:t xml:space="preserve">This document is a common proposal developed in accordance with Article 41(1) of Commission Regulation (EU) 2017/2195 of 23 November establishing a guideline on electricity balancing (hereafter referred to as the “EB Regulation”) by all Transmission System Operators (hereafter referred to as </w:t>
      </w:r>
      <w:r w:rsidR="004761AD" w:rsidRPr="00C873EE">
        <w:rPr>
          <w:lang w:val="en-GB"/>
        </w:rPr>
        <w:t xml:space="preserve">the </w:t>
      </w:r>
      <w:r w:rsidRPr="00C873EE">
        <w:rPr>
          <w:lang w:val="en-GB"/>
        </w:rPr>
        <w:t xml:space="preserve">“TSOs”) in the geographic area covering </w:t>
      </w:r>
      <w:r w:rsidR="0085684D" w:rsidRPr="00C873EE">
        <w:rPr>
          <w:lang w:val="en-GB"/>
        </w:rPr>
        <w:t xml:space="preserve">the </w:t>
      </w:r>
      <w:r w:rsidRPr="00C873EE">
        <w:rPr>
          <w:lang w:val="en-GB"/>
        </w:rPr>
        <w:t xml:space="preserve">Nordic capacity calculation region (hereafter referred to as </w:t>
      </w:r>
      <w:r w:rsidR="004761AD" w:rsidRPr="00C873EE">
        <w:rPr>
          <w:lang w:val="en-GB"/>
        </w:rPr>
        <w:t xml:space="preserve">the </w:t>
      </w:r>
      <w:r w:rsidRPr="00C873EE">
        <w:rPr>
          <w:lang w:val="en-GB"/>
        </w:rPr>
        <w:t xml:space="preserve">“CCR Nordic”) as defined in accordance with Article 15 of Commission Regulation (EU) 2015/1222 of 24 July 2015 establishing a guideline on capacity allocation and congestion management (hereafter referred to as </w:t>
      </w:r>
      <w:r w:rsidR="004761AD" w:rsidRPr="00C873EE">
        <w:rPr>
          <w:lang w:val="en-GB"/>
        </w:rPr>
        <w:t xml:space="preserve">the </w:t>
      </w:r>
      <w:r w:rsidRPr="00C873EE">
        <w:rPr>
          <w:lang w:val="en-GB"/>
        </w:rPr>
        <w:t>“CACM Regulation</w:t>
      </w:r>
      <w:r w:rsidR="004761AD" w:rsidRPr="00C873EE">
        <w:rPr>
          <w:lang w:val="en-GB"/>
        </w:rPr>
        <w:t>"</w:t>
      </w:r>
      <w:r w:rsidRPr="00C873EE">
        <w:rPr>
          <w:lang w:val="en-GB"/>
        </w:rPr>
        <w:t xml:space="preserve">) regarding a proposal for the methodology for a market-based allocation process of cross-zonal capacity (hereafter referred to as “CZC”) for the exchange of balancing capacity in the CCR Nordic. This proposal is hereinafter referred to as </w:t>
      </w:r>
      <w:r w:rsidR="004761AD" w:rsidRPr="00C873EE">
        <w:rPr>
          <w:lang w:val="en-GB"/>
        </w:rPr>
        <w:t xml:space="preserve">the </w:t>
      </w:r>
      <w:r w:rsidRPr="00C873EE">
        <w:rPr>
          <w:lang w:val="en-GB"/>
        </w:rPr>
        <w:t>“Proposal”.</w:t>
      </w:r>
    </w:p>
    <w:p w14:paraId="28D3947A" w14:textId="77777777" w:rsidR="00C64F44" w:rsidRPr="00C873EE" w:rsidRDefault="00C64F44" w:rsidP="00C64F44">
      <w:pPr>
        <w:pStyle w:val="ListParagraph"/>
        <w:spacing w:after="120"/>
        <w:ind w:left="1077" w:hanging="720"/>
        <w:rPr>
          <w:lang w:val="en-GB"/>
        </w:rPr>
      </w:pPr>
    </w:p>
    <w:p w14:paraId="57F3C424" w14:textId="1A6A1648" w:rsidR="00C64F44" w:rsidRPr="00C873EE" w:rsidRDefault="00C64F44" w:rsidP="00F875F8">
      <w:pPr>
        <w:pStyle w:val="ListParagraph"/>
        <w:numPr>
          <w:ilvl w:val="0"/>
          <w:numId w:val="5"/>
        </w:numPr>
        <w:spacing w:after="120"/>
        <w:ind w:left="1077" w:hanging="720"/>
        <w:rPr>
          <w:lang w:val="en-GB"/>
        </w:rPr>
      </w:pPr>
      <w:r w:rsidRPr="00C873EE">
        <w:rPr>
          <w:lang w:val="en-GB"/>
        </w:rPr>
        <w:t xml:space="preserve">The Proposal takes into account the general principles and goals set </w:t>
      </w:r>
      <w:r w:rsidR="0085684D" w:rsidRPr="00C873EE">
        <w:rPr>
          <w:lang w:val="en-GB"/>
        </w:rPr>
        <w:t xml:space="preserve">out </w:t>
      </w:r>
      <w:r w:rsidRPr="00C873EE">
        <w:rPr>
          <w:lang w:val="en-GB"/>
        </w:rPr>
        <w:t xml:space="preserve">in the EB Regulation as well as Commission Regulation (EU) 2017/1485 of 2 August 2017 establishing a guideline on electricity transmission system operation (hereafter referred to as </w:t>
      </w:r>
      <w:r w:rsidR="004761AD" w:rsidRPr="00C873EE">
        <w:rPr>
          <w:lang w:val="en-GB"/>
        </w:rPr>
        <w:t xml:space="preserve">the </w:t>
      </w:r>
      <w:r w:rsidRPr="00C873EE">
        <w:rPr>
          <w:lang w:val="en-GB"/>
        </w:rPr>
        <w:t xml:space="preserve">“SO Regulation”), the CACM Regulation and </w:t>
      </w:r>
      <w:r w:rsidR="004761AD" w:rsidRPr="00C873EE">
        <w:rPr>
          <w:lang w:val="en-GB"/>
        </w:rPr>
        <w:t>Regulation (EU) 2019/943 of the European Parliament and of the Council of 5 June 2019 on the internal market for electricity (hereafter referred to as the “Electricity Market Regulation”)</w:t>
      </w:r>
      <w:r w:rsidRPr="00C873EE">
        <w:rPr>
          <w:lang w:val="en-GB"/>
        </w:rPr>
        <w:t>.</w:t>
      </w:r>
    </w:p>
    <w:p w14:paraId="3DB87F48" w14:textId="77777777" w:rsidR="00C64F44" w:rsidRPr="00C873EE" w:rsidRDefault="00C64F44" w:rsidP="00C64F44">
      <w:pPr>
        <w:pStyle w:val="ListParagraph"/>
        <w:rPr>
          <w:lang w:val="en-GB"/>
        </w:rPr>
      </w:pPr>
    </w:p>
    <w:p w14:paraId="69F7BDB4" w14:textId="6D53D304" w:rsidR="00C64F44" w:rsidRPr="00C873EE" w:rsidRDefault="00C64F44" w:rsidP="00C64F44">
      <w:pPr>
        <w:pStyle w:val="ListParagraph"/>
        <w:numPr>
          <w:ilvl w:val="0"/>
          <w:numId w:val="5"/>
        </w:numPr>
        <w:spacing w:after="120"/>
        <w:ind w:left="1077" w:hanging="720"/>
        <w:rPr>
          <w:lang w:val="en-GB"/>
        </w:rPr>
      </w:pPr>
      <w:r w:rsidRPr="00C873EE">
        <w:rPr>
          <w:lang w:val="en-GB"/>
        </w:rPr>
        <w:t xml:space="preserve">The goal of the EB Regulation is to establish an EU-wide set of technical, operational and market rules to govern the functioning of electricity balancing markets. It sets out rules for the procurement of balancing capacity, the activation of balancing energy and the financial settlement of balance responsible parties. It also requires the development of harmonised methodologies for the allocation of CZC for balancing purposes. Such rules will increase the liquidity of short-term markets by allowing for more cross-zonal trade and for </w:t>
      </w:r>
      <w:r w:rsidR="00201207" w:rsidRPr="00C873EE">
        <w:rPr>
          <w:lang w:val="en-GB"/>
        </w:rPr>
        <w:t xml:space="preserve">the </w:t>
      </w:r>
      <w:r w:rsidRPr="00C873EE">
        <w:rPr>
          <w:lang w:val="en-GB"/>
        </w:rPr>
        <w:t>more efficient use of the existing grid for the purposes of balancing energy.</w:t>
      </w:r>
    </w:p>
    <w:p w14:paraId="60358658" w14:textId="77777777" w:rsidR="00C64F44" w:rsidRPr="00C873EE" w:rsidRDefault="00C64F44" w:rsidP="00C64F44">
      <w:pPr>
        <w:pStyle w:val="ListParagraph"/>
        <w:rPr>
          <w:lang w:val="en-GB"/>
        </w:rPr>
      </w:pPr>
    </w:p>
    <w:p w14:paraId="006FC3A7" w14:textId="16CC682A" w:rsidR="00C64F44" w:rsidRPr="00C873EE" w:rsidRDefault="00C64F44" w:rsidP="00C64F44">
      <w:pPr>
        <w:pStyle w:val="ListParagraph"/>
        <w:numPr>
          <w:ilvl w:val="0"/>
          <w:numId w:val="5"/>
        </w:numPr>
        <w:spacing w:after="120"/>
        <w:ind w:left="1077" w:hanging="720"/>
        <w:rPr>
          <w:lang w:val="en-GB"/>
        </w:rPr>
      </w:pPr>
      <w:r w:rsidRPr="00C873EE">
        <w:rPr>
          <w:lang w:val="en-GB"/>
        </w:rPr>
        <w:t>The TSOs intend to exchange balancing capacity and have for that reason developed common and harmonised rules and processes for this exchange and procurement. To secure this exchange of balancing capacity</w:t>
      </w:r>
      <w:r w:rsidR="00A932CA" w:rsidRPr="00C873EE">
        <w:rPr>
          <w:lang w:val="en-GB"/>
        </w:rPr>
        <w:t>,</w:t>
      </w:r>
      <w:r w:rsidRPr="00C873EE">
        <w:rPr>
          <w:lang w:val="en-GB"/>
        </w:rPr>
        <w:t xml:space="preserve"> the TSOs will allocate CZC using </w:t>
      </w:r>
      <w:r w:rsidR="00A932CA" w:rsidRPr="00C873EE">
        <w:rPr>
          <w:lang w:val="en-GB"/>
        </w:rPr>
        <w:t xml:space="preserve">a </w:t>
      </w:r>
      <w:r w:rsidRPr="00C873EE">
        <w:rPr>
          <w:lang w:val="en-GB"/>
        </w:rPr>
        <w:t xml:space="preserve">market-based allocation process. The Proposal shall define the details of </w:t>
      </w:r>
      <w:r w:rsidR="00A932CA" w:rsidRPr="00C873EE">
        <w:rPr>
          <w:lang w:val="en-GB"/>
        </w:rPr>
        <w:t xml:space="preserve">a </w:t>
      </w:r>
      <w:r w:rsidRPr="00C873EE">
        <w:rPr>
          <w:lang w:val="en-GB"/>
        </w:rPr>
        <w:t>market-based allocation methodology.</w:t>
      </w:r>
    </w:p>
    <w:p w14:paraId="5AB17D70" w14:textId="77777777" w:rsidR="00C64F44" w:rsidRPr="00C873EE" w:rsidRDefault="00C64F44" w:rsidP="00C64F44">
      <w:pPr>
        <w:pStyle w:val="ListParagraph"/>
        <w:rPr>
          <w:lang w:val="en-GB"/>
        </w:rPr>
      </w:pPr>
    </w:p>
    <w:p w14:paraId="66260C20" w14:textId="620EC9FA" w:rsidR="00C64F44" w:rsidRPr="00C873EE" w:rsidRDefault="00C64F44" w:rsidP="00C64F44">
      <w:pPr>
        <w:pStyle w:val="ListParagraph"/>
        <w:numPr>
          <w:ilvl w:val="0"/>
          <w:numId w:val="5"/>
        </w:numPr>
        <w:spacing w:after="120"/>
        <w:ind w:left="1077" w:hanging="720"/>
        <w:rPr>
          <w:lang w:val="en-GB"/>
        </w:rPr>
      </w:pPr>
      <w:r w:rsidRPr="00C873EE">
        <w:rPr>
          <w:lang w:val="en-GB"/>
        </w:rPr>
        <w:t xml:space="preserve">The Proposal shall include the following elements: (i) the notification process for the use of the market-based allocation process; (ii) a detailed description of how to determine the actual market value of CZC for the exchange of balancing capacity, and the forecasted market value of CZC for the exchange of energy; (iii) a detailed description of the pricing method, the firmness regime and the sharing of congestion income for the CZC that has been allocated to bids for the exchange of balancing capacity via the market-based allocation process; </w:t>
      </w:r>
      <w:r w:rsidR="00FC495A" w:rsidRPr="00C873EE">
        <w:rPr>
          <w:lang w:val="en-GB"/>
        </w:rPr>
        <w:t xml:space="preserve">and </w:t>
      </w:r>
      <w:r w:rsidRPr="00C873EE">
        <w:rPr>
          <w:lang w:val="en-GB"/>
        </w:rPr>
        <w:t>(iv) the process to define the maximum volume of allocated CZC for the exchange of balancing capacity.</w:t>
      </w:r>
    </w:p>
    <w:p w14:paraId="5CAC1625" w14:textId="77777777" w:rsidR="00C64F44" w:rsidRPr="00C873EE" w:rsidRDefault="00C64F44" w:rsidP="00C64F44">
      <w:pPr>
        <w:pStyle w:val="ListParagraph"/>
        <w:spacing w:after="120"/>
        <w:rPr>
          <w:lang w:val="en-GB"/>
        </w:rPr>
      </w:pPr>
    </w:p>
    <w:p w14:paraId="50DA6035" w14:textId="623ED2C4" w:rsidR="00C64F44" w:rsidRPr="00C873EE" w:rsidRDefault="00C64F44" w:rsidP="00C64F44">
      <w:pPr>
        <w:pStyle w:val="ListParagraph"/>
        <w:numPr>
          <w:ilvl w:val="0"/>
          <w:numId w:val="5"/>
        </w:numPr>
        <w:spacing w:after="0"/>
        <w:ind w:left="1077" w:hanging="720"/>
        <w:contextualSpacing w:val="0"/>
        <w:rPr>
          <w:lang w:val="en-GB"/>
        </w:rPr>
      </w:pPr>
      <w:r w:rsidRPr="00C873EE">
        <w:rPr>
          <w:lang w:val="en-GB"/>
        </w:rPr>
        <w:t>CZC allocated shall be limited to 10% of the available capacity between the respective bidding zone</w:t>
      </w:r>
      <w:r w:rsidR="002704F3" w:rsidRPr="00C873EE">
        <w:rPr>
          <w:lang w:val="en-GB"/>
        </w:rPr>
        <w:t>s</w:t>
      </w:r>
      <w:r w:rsidR="00750807" w:rsidRPr="00C873EE">
        <w:rPr>
          <w:lang w:val="en-GB"/>
        </w:rPr>
        <w:t xml:space="preserve">, based on the latest available </w:t>
      </w:r>
      <w:r w:rsidR="00F875F8" w:rsidRPr="00C873EE">
        <w:rPr>
          <w:lang w:val="en-GB"/>
        </w:rPr>
        <w:t xml:space="preserve">CZC calculated for </w:t>
      </w:r>
      <w:r w:rsidR="00126FE1" w:rsidRPr="00C873EE">
        <w:rPr>
          <w:lang w:val="en-GB"/>
        </w:rPr>
        <w:t xml:space="preserve">the </w:t>
      </w:r>
      <w:r w:rsidR="00F875F8" w:rsidRPr="00C873EE">
        <w:rPr>
          <w:lang w:val="en-GB"/>
        </w:rPr>
        <w:t>day-ahead timeframe</w:t>
      </w:r>
      <w:r w:rsidRPr="00C873EE">
        <w:rPr>
          <w:lang w:val="en-GB"/>
        </w:rPr>
        <w:t>. For new interconnectors this will be 10% of the total installed technical capacity of these new interconnectors. The CZC allocated for the exchange of balancing capacity will be used only for the exchange of balancing capacity and the associated exchange of balancing energy.</w:t>
      </w:r>
    </w:p>
    <w:p w14:paraId="64A9B821" w14:textId="77777777" w:rsidR="00C64F44" w:rsidRPr="00C873EE" w:rsidRDefault="00C64F44" w:rsidP="00C64F44">
      <w:pPr>
        <w:pStyle w:val="ListParagraph"/>
        <w:rPr>
          <w:lang w:val="en-GB"/>
        </w:rPr>
      </w:pPr>
    </w:p>
    <w:p w14:paraId="5E09B2E3" w14:textId="7EB1CADF" w:rsidR="00C64F44" w:rsidRPr="00C873EE" w:rsidRDefault="00C64F44" w:rsidP="00C64F44">
      <w:pPr>
        <w:pStyle w:val="ListParagraph"/>
        <w:numPr>
          <w:ilvl w:val="0"/>
          <w:numId w:val="5"/>
        </w:numPr>
        <w:spacing w:after="0"/>
        <w:ind w:left="1077" w:hanging="720"/>
        <w:contextualSpacing w:val="0"/>
        <w:rPr>
          <w:lang w:val="en-GB"/>
        </w:rPr>
      </w:pPr>
      <w:r w:rsidRPr="00C873EE">
        <w:rPr>
          <w:lang w:val="en-GB"/>
        </w:rPr>
        <w:t>The methodology for market-based allocation is based on a</w:t>
      </w:r>
      <w:r w:rsidR="00AF66F4" w:rsidRPr="00C873EE">
        <w:rPr>
          <w:lang w:val="en-GB"/>
        </w:rPr>
        <w:t xml:space="preserve">n optimisation process that seeks to minimise the socioeconomic costs of procuring balancing capacity, taking account of the implied cost of reserving CZC for the exchange of balancing capacity. </w:t>
      </w:r>
      <w:r w:rsidR="007B2B94" w:rsidRPr="007B2B94">
        <w:rPr>
          <w:lang w:val="en-GB"/>
        </w:rPr>
        <w:t xml:space="preserve">Consistent with Article 58(3) of the EB GL and the EB GL's aims as stated its Article 3, this optimisation </w:t>
      </w:r>
      <w:r w:rsidR="007B2B94">
        <w:rPr>
          <w:lang w:val="en-GB"/>
        </w:rPr>
        <w:t>process</w:t>
      </w:r>
      <w:r w:rsidR="007B2B94" w:rsidRPr="007B2B94">
        <w:rPr>
          <w:lang w:val="en-GB"/>
        </w:rPr>
        <w:t xml:space="preserve"> minimise</w:t>
      </w:r>
      <w:r w:rsidR="007B2B94">
        <w:rPr>
          <w:lang w:val="en-GB"/>
        </w:rPr>
        <w:t>s</w:t>
      </w:r>
      <w:r w:rsidR="007B2B94" w:rsidRPr="007B2B94">
        <w:rPr>
          <w:lang w:val="en-GB"/>
        </w:rPr>
        <w:t xml:space="preserve"> the overall procurement costs of all jointly procured balancing capacity </w:t>
      </w:r>
      <w:r w:rsidR="007B2B94">
        <w:rPr>
          <w:lang w:val="en-GB"/>
        </w:rPr>
        <w:t xml:space="preserve">so as to </w:t>
      </w:r>
      <w:r w:rsidR="007B2B94" w:rsidRPr="007B2B94">
        <w:rPr>
          <w:lang w:val="en-GB"/>
        </w:rPr>
        <w:t xml:space="preserve">enhance the efficiency of balancing and of European and national balancing markets. </w:t>
      </w:r>
      <w:r w:rsidR="00AF66F4" w:rsidRPr="00C873EE">
        <w:rPr>
          <w:lang w:val="en-GB"/>
        </w:rPr>
        <w:t>This process takes the forecasted market value of CZC capacity for the exchange of energy as a cost input.</w:t>
      </w:r>
      <w:r w:rsidRPr="00C873EE">
        <w:rPr>
          <w:lang w:val="en-GB"/>
        </w:rPr>
        <w:t xml:space="preserve"> The pricing method, the firmness regime and </w:t>
      </w:r>
      <w:r w:rsidR="000E1535" w:rsidRPr="00C873EE">
        <w:rPr>
          <w:lang w:val="en-GB"/>
        </w:rPr>
        <w:t xml:space="preserve">the </w:t>
      </w:r>
      <w:r w:rsidRPr="00C873EE">
        <w:rPr>
          <w:lang w:val="en-GB"/>
        </w:rPr>
        <w:t xml:space="preserve">sharing of congestion income for CZC that has been allocated for the exchange of balancing capacity ensures </w:t>
      </w:r>
      <w:r w:rsidR="0085684D" w:rsidRPr="00C873EE">
        <w:rPr>
          <w:lang w:val="en-GB"/>
        </w:rPr>
        <w:t xml:space="preserve">fair </w:t>
      </w:r>
      <w:r w:rsidRPr="00C873EE">
        <w:rPr>
          <w:lang w:val="en-GB"/>
        </w:rPr>
        <w:t>treatment with CZC allocated for the exchange of energy.</w:t>
      </w:r>
    </w:p>
    <w:p w14:paraId="352093B2" w14:textId="77777777" w:rsidR="00C64F44" w:rsidRPr="00C873EE" w:rsidRDefault="00C64F44" w:rsidP="00C64F44">
      <w:pPr>
        <w:pStyle w:val="ListParagraph"/>
        <w:spacing w:after="0"/>
        <w:ind w:left="1077" w:hanging="720"/>
        <w:contextualSpacing w:val="0"/>
        <w:rPr>
          <w:lang w:val="en-GB"/>
        </w:rPr>
      </w:pPr>
      <w:r w:rsidRPr="00C873EE">
        <w:rPr>
          <w:i/>
          <w:lang w:val="en-GB"/>
        </w:rPr>
        <w:tab/>
      </w:r>
    </w:p>
    <w:p w14:paraId="3DCED65A" w14:textId="238D8BB3" w:rsidR="00C64F44" w:rsidRPr="00C873EE" w:rsidRDefault="00C64F44" w:rsidP="00C64F44">
      <w:pPr>
        <w:pStyle w:val="ListParagraph"/>
        <w:numPr>
          <w:ilvl w:val="0"/>
          <w:numId w:val="5"/>
        </w:numPr>
        <w:spacing w:after="0"/>
        <w:ind w:left="1077" w:hanging="720"/>
        <w:contextualSpacing w:val="0"/>
        <w:rPr>
          <w:lang w:val="en-GB"/>
        </w:rPr>
      </w:pPr>
      <w:r w:rsidRPr="00C873EE">
        <w:rPr>
          <w:lang w:val="en-GB"/>
        </w:rPr>
        <w:t xml:space="preserve">The </w:t>
      </w:r>
      <w:r w:rsidR="00C603F9" w:rsidRPr="00C873EE">
        <w:rPr>
          <w:lang w:val="en-GB"/>
        </w:rPr>
        <w:t xml:space="preserve">optimisation process used to allocate CZC effectively trades-off the use of CZC for the exchange of balancing capacity with this CZC's potential </w:t>
      </w:r>
      <w:r w:rsidR="00F83976" w:rsidRPr="00C873EE">
        <w:rPr>
          <w:lang w:val="en-GB"/>
        </w:rPr>
        <w:t xml:space="preserve">alternative </w:t>
      </w:r>
      <w:r w:rsidR="00C603F9" w:rsidRPr="00C873EE">
        <w:rPr>
          <w:lang w:val="en-GB"/>
        </w:rPr>
        <w:t xml:space="preserve">use for the exchange of energy. This process also, simultaneously, selects the balancing capacity bids that will be accepted. The </w:t>
      </w:r>
      <w:r w:rsidR="00B652FB" w:rsidRPr="00C873EE">
        <w:rPr>
          <w:lang w:val="en-GB"/>
        </w:rPr>
        <w:t>forecasted</w:t>
      </w:r>
      <w:r w:rsidR="00C603F9" w:rsidRPr="00C873EE">
        <w:rPr>
          <w:lang w:val="en-GB"/>
        </w:rPr>
        <w:t xml:space="preserve"> value of CZC for the exchange of energy </w:t>
      </w:r>
      <w:r w:rsidR="00C23575" w:rsidRPr="00C873EE">
        <w:rPr>
          <w:lang w:val="en-GB"/>
        </w:rPr>
        <w:t xml:space="preserve">that is </w:t>
      </w:r>
      <w:r w:rsidR="00C603F9" w:rsidRPr="00C873EE">
        <w:rPr>
          <w:lang w:val="en-GB"/>
        </w:rPr>
        <w:t xml:space="preserve">used in this process is calculated based on the latest available day-ahead energy prices in the connecting bidding zones </w:t>
      </w:r>
      <w:r w:rsidR="00C23575" w:rsidRPr="00C873EE">
        <w:rPr>
          <w:lang w:val="en-GB"/>
        </w:rPr>
        <w:t>as</w:t>
      </w:r>
      <w:r w:rsidR="00C603F9" w:rsidRPr="00C873EE">
        <w:rPr>
          <w:lang w:val="en-GB"/>
        </w:rPr>
        <w:t xml:space="preserve"> described in detail in Article 5. The value of CZC for the exchange of balancing capacity is handled within the optimisation process itself and informed by the actual</w:t>
      </w:r>
      <w:r w:rsidRPr="00C873EE">
        <w:rPr>
          <w:lang w:val="en-GB"/>
        </w:rPr>
        <w:t xml:space="preserve"> balancing capacity bids submitted </w:t>
      </w:r>
      <w:r w:rsidR="00C603F9" w:rsidRPr="00C873EE">
        <w:rPr>
          <w:lang w:val="en-GB"/>
        </w:rPr>
        <w:t xml:space="preserve">by </w:t>
      </w:r>
      <w:r w:rsidR="000B6FE2" w:rsidRPr="00C873EE">
        <w:rPr>
          <w:lang w:val="en-GB"/>
        </w:rPr>
        <w:t>balancing service providers (</w:t>
      </w:r>
      <w:r w:rsidR="00C603F9" w:rsidRPr="00C873EE">
        <w:rPr>
          <w:lang w:val="en-GB"/>
        </w:rPr>
        <w:t>BSPs</w:t>
      </w:r>
      <w:r w:rsidR="000B6FE2" w:rsidRPr="00C873EE">
        <w:rPr>
          <w:lang w:val="en-GB"/>
        </w:rPr>
        <w:t>)</w:t>
      </w:r>
      <w:r w:rsidR="00C603F9" w:rsidRPr="00C873EE">
        <w:rPr>
          <w:lang w:val="en-GB"/>
        </w:rPr>
        <w:t xml:space="preserve">. </w:t>
      </w:r>
      <w:r w:rsidR="00C23575" w:rsidRPr="00C873EE">
        <w:rPr>
          <w:lang w:val="en-GB"/>
        </w:rPr>
        <w:t>T</w:t>
      </w:r>
      <w:r w:rsidRPr="00C873EE">
        <w:rPr>
          <w:lang w:val="en-GB"/>
        </w:rPr>
        <w:t>he TSO</w:t>
      </w:r>
      <w:r w:rsidR="0085684D" w:rsidRPr="00C873EE">
        <w:rPr>
          <w:lang w:val="en-GB"/>
        </w:rPr>
        <w:t>s</w:t>
      </w:r>
      <w:r w:rsidR="00C23575" w:rsidRPr="00C873EE">
        <w:rPr>
          <w:lang w:val="en-GB"/>
        </w:rPr>
        <w:t xml:space="preserve"> have reviewed the accuracy and efficiency of the proposed approach </w:t>
      </w:r>
      <w:r w:rsidR="005819F5" w:rsidRPr="00C873EE">
        <w:rPr>
          <w:lang w:val="en-GB"/>
        </w:rPr>
        <w:t xml:space="preserve">used </w:t>
      </w:r>
      <w:r w:rsidR="00C23575" w:rsidRPr="00C873EE">
        <w:rPr>
          <w:lang w:val="en-GB"/>
        </w:rPr>
        <w:t xml:space="preserve">to forecast the value of CZC for the exchange of energy in preparing this proposal and </w:t>
      </w:r>
      <w:r w:rsidRPr="00C873EE">
        <w:rPr>
          <w:lang w:val="en-GB"/>
        </w:rPr>
        <w:t>will</w:t>
      </w:r>
      <w:r w:rsidR="00C23575" w:rsidRPr="00C873EE">
        <w:rPr>
          <w:lang w:val="en-GB"/>
        </w:rPr>
        <w:t>, as part of the allocation processes</w:t>
      </w:r>
      <w:r w:rsidR="005819F5" w:rsidRPr="00C873EE">
        <w:rPr>
          <w:lang w:val="en-GB"/>
        </w:rPr>
        <w:t>'</w:t>
      </w:r>
      <w:r w:rsidR="00C23575" w:rsidRPr="00C873EE">
        <w:rPr>
          <w:lang w:val="en-GB"/>
        </w:rPr>
        <w:t xml:space="preserve"> implementation, </w:t>
      </w:r>
      <w:r w:rsidRPr="00C873EE">
        <w:rPr>
          <w:lang w:val="en-GB"/>
        </w:rPr>
        <w:t xml:space="preserve">collect information </w:t>
      </w:r>
      <w:r w:rsidR="00C23575" w:rsidRPr="00C873EE">
        <w:rPr>
          <w:lang w:val="en-GB"/>
        </w:rPr>
        <w:t xml:space="preserve">on and </w:t>
      </w:r>
      <w:r w:rsidRPr="00C873EE">
        <w:rPr>
          <w:lang w:val="en-GB"/>
        </w:rPr>
        <w:t>review the efficiency of the forecasting methodology</w:t>
      </w:r>
      <w:r w:rsidR="00C23575" w:rsidRPr="00C873EE">
        <w:rPr>
          <w:lang w:val="en-GB"/>
        </w:rPr>
        <w:t xml:space="preserve"> used. This review will include </w:t>
      </w:r>
      <w:r w:rsidR="0085684D" w:rsidRPr="00C873EE">
        <w:rPr>
          <w:lang w:val="en-GB"/>
        </w:rPr>
        <w:t xml:space="preserve">a </w:t>
      </w:r>
      <w:r w:rsidRPr="00C873EE">
        <w:rPr>
          <w:lang w:val="en-GB"/>
        </w:rPr>
        <w:t xml:space="preserve">comparison of </w:t>
      </w:r>
      <w:r w:rsidR="00C23575" w:rsidRPr="00C873EE">
        <w:rPr>
          <w:lang w:val="en-GB"/>
        </w:rPr>
        <w:t xml:space="preserve">the </w:t>
      </w:r>
      <w:r w:rsidRPr="00C873EE">
        <w:rPr>
          <w:lang w:val="en-GB"/>
        </w:rPr>
        <w:t>forecasted and actual market values</w:t>
      </w:r>
      <w:r w:rsidR="00E74A5C" w:rsidRPr="00C873EE">
        <w:rPr>
          <w:lang w:val="en-GB"/>
        </w:rPr>
        <w:t xml:space="preserve"> of CZC for the exchange of energy</w:t>
      </w:r>
      <w:r w:rsidRPr="00C873EE">
        <w:rPr>
          <w:lang w:val="en-GB"/>
        </w:rPr>
        <w:t>.</w:t>
      </w:r>
    </w:p>
    <w:p w14:paraId="4302077F" w14:textId="77777777" w:rsidR="00C64F44" w:rsidRPr="00C873EE" w:rsidRDefault="00C64F44" w:rsidP="00C64F44">
      <w:pPr>
        <w:pStyle w:val="ListParagraph"/>
        <w:spacing w:after="120"/>
        <w:ind w:left="1080"/>
        <w:rPr>
          <w:lang w:val="en-GB"/>
        </w:rPr>
      </w:pPr>
    </w:p>
    <w:p w14:paraId="3FE673F2" w14:textId="5E6F54B0" w:rsidR="00C64F44" w:rsidRPr="00C873EE" w:rsidRDefault="00C64F44" w:rsidP="00C64F44">
      <w:pPr>
        <w:pStyle w:val="ListParagraph"/>
        <w:numPr>
          <w:ilvl w:val="0"/>
          <w:numId w:val="5"/>
        </w:numPr>
        <w:spacing w:after="0"/>
        <w:ind w:left="1077" w:hanging="720"/>
        <w:contextualSpacing w:val="0"/>
        <w:rPr>
          <w:lang w:val="en-GB"/>
        </w:rPr>
      </w:pPr>
      <w:r w:rsidRPr="00C873EE">
        <w:rPr>
          <w:lang w:val="en-GB"/>
        </w:rPr>
        <w:t>The TSOs shall publish, as soon as it becomes available, information on CZC allocation for the exchange of balancing capacity as well as information on the use of CZC for the exchange of balancing capacity.</w:t>
      </w:r>
    </w:p>
    <w:p w14:paraId="06FAD878" w14:textId="77777777" w:rsidR="00C64F44" w:rsidRPr="00C873EE" w:rsidRDefault="00C64F44" w:rsidP="00C64F44">
      <w:pPr>
        <w:pStyle w:val="ListParagraph"/>
        <w:spacing w:after="0"/>
        <w:ind w:left="1077"/>
        <w:rPr>
          <w:lang w:val="en-GB"/>
        </w:rPr>
      </w:pPr>
    </w:p>
    <w:p w14:paraId="604F26FE" w14:textId="7010C0FF" w:rsidR="00C64F44" w:rsidRPr="00C873EE" w:rsidRDefault="00C64F44" w:rsidP="00C64F44">
      <w:pPr>
        <w:pStyle w:val="ListParagraph"/>
        <w:numPr>
          <w:ilvl w:val="0"/>
          <w:numId w:val="5"/>
        </w:numPr>
        <w:spacing w:after="120"/>
        <w:ind w:left="1077" w:hanging="720"/>
        <w:rPr>
          <w:lang w:val="en-GB"/>
        </w:rPr>
      </w:pPr>
      <w:r w:rsidRPr="00C873EE">
        <w:rPr>
          <w:lang w:val="en-GB"/>
        </w:rPr>
        <w:t>Article 5(5) of the EB Regulation requires that the expected impact of the Proposal on the objectives of the EB Regulation is described. The impact is presented below (points (11) to (15) of this Whereas Section).</w:t>
      </w:r>
    </w:p>
    <w:p w14:paraId="5797CF57" w14:textId="77777777" w:rsidR="00C64F44" w:rsidRPr="00C873EE" w:rsidRDefault="00C64F44" w:rsidP="00C64F44">
      <w:pPr>
        <w:pStyle w:val="ListParagraph"/>
        <w:spacing w:after="120"/>
        <w:ind w:left="1077"/>
        <w:rPr>
          <w:lang w:val="en-GB"/>
        </w:rPr>
      </w:pPr>
    </w:p>
    <w:p w14:paraId="75FA1A1D" w14:textId="17275EB1" w:rsidR="00C64F44" w:rsidRPr="00C873EE" w:rsidRDefault="007A30B7" w:rsidP="00C64F44">
      <w:pPr>
        <w:pStyle w:val="ListParagraph"/>
        <w:numPr>
          <w:ilvl w:val="0"/>
          <w:numId w:val="5"/>
        </w:numPr>
        <w:spacing w:after="120"/>
        <w:ind w:left="1077" w:hanging="720"/>
        <w:rPr>
          <w:lang w:val="en-GB"/>
        </w:rPr>
      </w:pPr>
      <w:r w:rsidRPr="00C873EE">
        <w:rPr>
          <w:lang w:val="en-GB"/>
        </w:rPr>
        <w:t>The Proposal contributes and does not in any way hamper the achievement of the objectives of Article 3 of the EB Regulation. In particular, the Proposal serves the following objectives:</w:t>
      </w:r>
    </w:p>
    <w:p w14:paraId="16C8BEC0" w14:textId="77777777" w:rsidR="00C64F44" w:rsidRPr="00C873EE" w:rsidRDefault="00C64F44" w:rsidP="00C64F44">
      <w:pPr>
        <w:pStyle w:val="ListParagraph"/>
        <w:spacing w:after="120"/>
        <w:ind w:left="1077"/>
        <w:rPr>
          <w:lang w:val="en-GB"/>
        </w:rPr>
      </w:pPr>
    </w:p>
    <w:p w14:paraId="6CAF3121" w14:textId="289B316B" w:rsidR="00C873EE" w:rsidRDefault="00C64F44" w:rsidP="007D210B">
      <w:pPr>
        <w:pStyle w:val="ListParagraph"/>
        <w:numPr>
          <w:ilvl w:val="0"/>
          <w:numId w:val="5"/>
        </w:numPr>
        <w:spacing w:after="120"/>
        <w:ind w:left="1077" w:hanging="720"/>
        <w:rPr>
          <w:lang w:val="en-GB"/>
        </w:rPr>
      </w:pPr>
      <w:r w:rsidRPr="00C873EE">
        <w:rPr>
          <w:lang w:val="en-GB"/>
        </w:rPr>
        <w:t xml:space="preserve">The Proposal fosters effective competition, non-discrimination and transparency in balancing markets (Article 3(1)(a) of the EB Regulation) by creating the regional Nordic capacity market with common and harmonised rules and processes for the procurement and exchange </w:t>
      </w:r>
      <w:r w:rsidR="00B652FB" w:rsidRPr="00C873EE">
        <w:rPr>
          <w:lang w:val="en-GB"/>
        </w:rPr>
        <w:t>of balancing</w:t>
      </w:r>
      <w:r w:rsidRPr="00C873EE">
        <w:rPr>
          <w:lang w:val="en-GB"/>
        </w:rPr>
        <w:t xml:space="preserve"> capacity and </w:t>
      </w:r>
      <w:r w:rsidR="007D210B" w:rsidRPr="00697D2F">
        <w:rPr>
          <w:lang w:val="en-GB"/>
        </w:rPr>
        <w:t xml:space="preserve">by applying a market-based CZC allocation process for exchanging </w:t>
      </w:r>
      <w:r w:rsidR="009D7637">
        <w:rPr>
          <w:lang w:val="en-GB"/>
        </w:rPr>
        <w:t>balancing</w:t>
      </w:r>
      <w:r w:rsidR="007D210B" w:rsidRPr="00697D2F">
        <w:rPr>
          <w:lang w:val="en-GB"/>
        </w:rPr>
        <w:t xml:space="preserve"> capacity</w:t>
      </w:r>
      <w:r w:rsidRPr="00C873EE">
        <w:rPr>
          <w:lang w:val="en-GB"/>
        </w:rPr>
        <w:t xml:space="preserve">. This Proposal together with the common and harmonised rules and processes for the exchange and procurement of balancing capacity developed in accordance with Article 33 of the EB Regulation </w:t>
      </w:r>
      <w:r w:rsidR="007D210B" w:rsidRPr="00697D2F">
        <w:rPr>
          <w:lang w:val="en-GB"/>
        </w:rPr>
        <w:t xml:space="preserve">creates a common Nordic system for the procurement and exchange of </w:t>
      </w:r>
      <w:r w:rsidR="003B1AB2">
        <w:rPr>
          <w:lang w:val="en-GB"/>
        </w:rPr>
        <w:t>balancing</w:t>
      </w:r>
      <w:r w:rsidR="007D210B" w:rsidRPr="00697D2F">
        <w:rPr>
          <w:lang w:val="en-GB"/>
        </w:rPr>
        <w:t xml:space="preserve"> capacity. </w:t>
      </w:r>
      <w:r w:rsidR="00BB70C6" w:rsidRPr="00697D2F">
        <w:rPr>
          <w:lang w:val="en-GB"/>
        </w:rPr>
        <w:t xml:space="preserve">The market is based on common, transparent and non-discriminatory rules for submitting bids and selecting bids to cover </w:t>
      </w:r>
      <w:r w:rsidR="00BB70C6">
        <w:rPr>
          <w:lang w:val="en-GB"/>
        </w:rPr>
        <w:t>demand in each bidding zone</w:t>
      </w:r>
      <w:r w:rsidR="00BB70C6" w:rsidRPr="00697D2F">
        <w:rPr>
          <w:lang w:val="en-GB"/>
        </w:rPr>
        <w:t xml:space="preserve"> efficiently. The </w:t>
      </w:r>
      <w:r w:rsidR="003B1AB2">
        <w:rPr>
          <w:lang w:val="en-GB"/>
        </w:rPr>
        <w:t>balancing</w:t>
      </w:r>
      <w:r w:rsidR="00BB70C6" w:rsidRPr="00697D2F">
        <w:rPr>
          <w:lang w:val="en-GB"/>
        </w:rPr>
        <w:t xml:space="preserve"> capacity is settled to a clearing price for each bidding zone that signals the competitive bid price level in each market time unit and incentivises market players to bid according to their actual reservation cost.</w:t>
      </w:r>
    </w:p>
    <w:p w14:paraId="2667F9A4" w14:textId="77777777" w:rsidR="00C873EE" w:rsidRPr="00C873EE" w:rsidRDefault="00C873EE" w:rsidP="007B2B94">
      <w:pPr>
        <w:pStyle w:val="ListParagraph"/>
        <w:spacing w:after="120"/>
        <w:ind w:left="1077"/>
        <w:rPr>
          <w:lang w:val="en-GB"/>
        </w:rPr>
      </w:pPr>
    </w:p>
    <w:p w14:paraId="7AD822BC" w14:textId="23BA6EAC" w:rsidR="00C64F44" w:rsidRPr="00C873EE" w:rsidRDefault="00C64F44" w:rsidP="00C64F44">
      <w:pPr>
        <w:pStyle w:val="ListParagraph"/>
        <w:numPr>
          <w:ilvl w:val="0"/>
          <w:numId w:val="5"/>
        </w:numPr>
        <w:spacing w:after="120"/>
        <w:ind w:left="1077" w:hanging="720"/>
        <w:rPr>
          <w:lang w:val="en-GB"/>
        </w:rPr>
      </w:pPr>
      <w:r w:rsidRPr="00C873EE">
        <w:rPr>
          <w:lang w:val="en-GB"/>
        </w:rPr>
        <w:t xml:space="preserve">The Proposal enhances </w:t>
      </w:r>
      <w:r w:rsidR="00284174" w:rsidRPr="00C873EE">
        <w:rPr>
          <w:lang w:val="en-GB"/>
        </w:rPr>
        <w:t xml:space="preserve">the </w:t>
      </w:r>
      <w:r w:rsidRPr="00C873EE">
        <w:rPr>
          <w:lang w:val="en-GB"/>
        </w:rPr>
        <w:t xml:space="preserve">efficiency of balancing as well as </w:t>
      </w:r>
      <w:r w:rsidR="00284174" w:rsidRPr="00C873EE">
        <w:rPr>
          <w:lang w:val="en-GB"/>
        </w:rPr>
        <w:t xml:space="preserve">the </w:t>
      </w:r>
      <w:r w:rsidRPr="00C873EE">
        <w:rPr>
          <w:lang w:val="en-GB"/>
        </w:rPr>
        <w:t>efficiency of European and national balancing markets (Article 3(1)(b) of the EB Regulation) and contributes to the objective of integrating balancing markets and promoting the possibilities for exchanges of balancing services while contributing to operational security (Article 3(1)(c) of the EB Regulation)</w:t>
      </w:r>
      <w:r w:rsidR="007D210B">
        <w:rPr>
          <w:lang w:val="en-GB"/>
        </w:rPr>
        <w:t>.</w:t>
      </w:r>
      <w:r w:rsidRPr="00C873EE">
        <w:rPr>
          <w:lang w:val="en-GB"/>
        </w:rPr>
        <w:t xml:space="preserve"> </w:t>
      </w:r>
      <w:r w:rsidR="00BB70C6" w:rsidRPr="00697D2F">
        <w:rPr>
          <w:lang w:val="en-GB"/>
        </w:rPr>
        <w:t xml:space="preserve">The bid selection of the Nordic market is based on an optimisation that seeks to cover demand </w:t>
      </w:r>
      <w:r w:rsidR="00BB70C6">
        <w:rPr>
          <w:lang w:val="en-GB"/>
        </w:rPr>
        <w:t xml:space="preserve">in each bidding zone </w:t>
      </w:r>
      <w:r w:rsidR="00BB70C6" w:rsidRPr="00697D2F">
        <w:rPr>
          <w:lang w:val="en-GB"/>
        </w:rPr>
        <w:t xml:space="preserve">by minimising total social costs including, where relevant, the foregone value of CZC to the energy market. This contributes to efficient balancing by making possible an efficient utilisation of </w:t>
      </w:r>
      <w:r w:rsidR="003B1AB2">
        <w:rPr>
          <w:lang w:val="en-GB"/>
        </w:rPr>
        <w:t>balancing capacity</w:t>
      </w:r>
      <w:r w:rsidR="00BB70C6" w:rsidRPr="00697D2F">
        <w:rPr>
          <w:lang w:val="en-GB"/>
        </w:rPr>
        <w:t xml:space="preserve"> resources across bidding zone borders in order to secure the volume of balancing capacity needed to maintain operational security. When a European balancing energy market is established, BSPs with </w:t>
      </w:r>
      <w:r w:rsidR="003B1AB2">
        <w:rPr>
          <w:lang w:val="en-GB"/>
        </w:rPr>
        <w:t>balancing</w:t>
      </w:r>
      <w:r w:rsidR="00BB70C6" w:rsidRPr="00697D2F">
        <w:rPr>
          <w:lang w:val="en-GB"/>
        </w:rPr>
        <w:t xml:space="preserve"> capacity contracts will be committed to submit bids into the balancing energy market on equal terms with BSPs without balancing capacity contracts, thereby contributing to the efficiency and integration of European markets. Simulations of the aFRR market with realistic assumptions and based on historic bid data from 2018 that take account of the impact of allocating CZC for the exchange of aFRR capacity on the day-ahead energy market show that the increase in socio-economic surplus created by the proposed aFRR capacity market dominates the negative impact on socio-economic surplus in day-ahead market by a large margin, and thereby enhances overall efficiency.</w:t>
      </w:r>
    </w:p>
    <w:p w14:paraId="50B9933C" w14:textId="77777777" w:rsidR="00C64F44" w:rsidRPr="00C873EE" w:rsidRDefault="00C64F44" w:rsidP="00C64F44">
      <w:pPr>
        <w:pStyle w:val="ListParagraph"/>
        <w:rPr>
          <w:lang w:val="en-GB"/>
        </w:rPr>
      </w:pPr>
    </w:p>
    <w:p w14:paraId="7A525842" w14:textId="7ED7D644" w:rsidR="00C64F44" w:rsidRPr="00C873EE" w:rsidRDefault="00C64F44" w:rsidP="00C64F44">
      <w:pPr>
        <w:pStyle w:val="ListParagraph"/>
        <w:numPr>
          <w:ilvl w:val="0"/>
          <w:numId w:val="5"/>
        </w:numPr>
        <w:spacing w:after="120"/>
        <w:ind w:left="1077" w:hanging="720"/>
        <w:rPr>
          <w:lang w:val="en-GB"/>
        </w:rPr>
      </w:pPr>
      <w:r w:rsidRPr="00C873EE">
        <w:rPr>
          <w:lang w:val="en-GB"/>
        </w:rPr>
        <w:t xml:space="preserve">The Proposal contributes to the efficient long-term operation and development of the electricity transmission system and electricity sector in the Union while facilitating the efficient and consistent functioning of </w:t>
      </w:r>
      <w:r w:rsidR="005C4EC7" w:rsidRPr="00C873EE">
        <w:rPr>
          <w:lang w:val="en-GB"/>
        </w:rPr>
        <w:t xml:space="preserve">the </w:t>
      </w:r>
      <w:r w:rsidRPr="00C873EE">
        <w:rPr>
          <w:lang w:val="en-GB"/>
        </w:rPr>
        <w:t xml:space="preserve">day-ahead, intraday and balancing markets (Article 3(1)(d)) of the EB Regulation) </w:t>
      </w:r>
      <w:r w:rsidR="003B1AB2" w:rsidRPr="00697D2F">
        <w:rPr>
          <w:lang w:val="en-GB"/>
        </w:rPr>
        <w:t xml:space="preserve">since it establishes a Nordic market for </w:t>
      </w:r>
      <w:r w:rsidR="003B1AB2">
        <w:rPr>
          <w:lang w:val="en-GB"/>
        </w:rPr>
        <w:t>balancing</w:t>
      </w:r>
      <w:r w:rsidR="003B1AB2" w:rsidRPr="00697D2F">
        <w:rPr>
          <w:lang w:val="en-GB"/>
        </w:rPr>
        <w:t xml:space="preserve"> capacity and implements a market-based CZC allocation process. </w:t>
      </w:r>
      <w:r w:rsidR="00871FF1" w:rsidRPr="00C873EE">
        <w:rPr>
          <w:lang w:val="en-GB"/>
        </w:rPr>
        <w:t xml:space="preserve"> </w:t>
      </w:r>
      <w:r w:rsidR="00BB70C6" w:rsidRPr="00697D2F">
        <w:rPr>
          <w:lang w:val="en-GB"/>
        </w:rPr>
        <w:t xml:space="preserve">The Nordic </w:t>
      </w:r>
      <w:r w:rsidR="00BB70C6">
        <w:rPr>
          <w:lang w:val="en-GB"/>
        </w:rPr>
        <w:t>balancing</w:t>
      </w:r>
      <w:r w:rsidR="00BB70C6" w:rsidRPr="00697D2F">
        <w:rPr>
          <w:lang w:val="en-GB"/>
        </w:rPr>
        <w:t xml:space="preserve"> capacity market provides price signals that reflect the scarcity of </w:t>
      </w:r>
      <w:r w:rsidR="00BB70C6">
        <w:rPr>
          <w:lang w:val="en-GB"/>
        </w:rPr>
        <w:t>balancing</w:t>
      </w:r>
      <w:r w:rsidR="00BB70C6" w:rsidRPr="00697D2F">
        <w:rPr>
          <w:lang w:val="en-GB"/>
        </w:rPr>
        <w:t xml:space="preserve"> capacity in different </w:t>
      </w:r>
      <w:r w:rsidR="00BB70C6">
        <w:rPr>
          <w:lang w:val="en-GB"/>
        </w:rPr>
        <w:t>bidding zones</w:t>
      </w:r>
      <w:r w:rsidR="00BB70C6" w:rsidRPr="00697D2F">
        <w:rPr>
          <w:lang w:val="en-GB"/>
        </w:rPr>
        <w:t xml:space="preserve"> and the cost of allocating CZC for the exchange of </w:t>
      </w:r>
      <w:r w:rsidR="00BB70C6">
        <w:rPr>
          <w:lang w:val="en-GB"/>
        </w:rPr>
        <w:t>balancing</w:t>
      </w:r>
      <w:r w:rsidR="00BB70C6" w:rsidRPr="00697D2F">
        <w:rPr>
          <w:lang w:val="en-GB"/>
        </w:rPr>
        <w:t xml:space="preserve"> capacity to these </w:t>
      </w:r>
      <w:r w:rsidR="00BB70C6">
        <w:rPr>
          <w:lang w:val="en-GB"/>
        </w:rPr>
        <w:t>bidding zones</w:t>
      </w:r>
      <w:r w:rsidR="00BB70C6" w:rsidRPr="00697D2F">
        <w:rPr>
          <w:lang w:val="en-GB"/>
        </w:rPr>
        <w:t xml:space="preserve">. It thereby contributes to efficient investment in new capability for providing </w:t>
      </w:r>
      <w:r w:rsidR="003B1AB2">
        <w:rPr>
          <w:lang w:val="en-GB"/>
        </w:rPr>
        <w:t>balancing</w:t>
      </w:r>
      <w:r w:rsidR="00BB70C6" w:rsidRPr="00697D2F">
        <w:rPr>
          <w:lang w:val="en-GB"/>
        </w:rPr>
        <w:t xml:space="preserve"> capacity.</w:t>
      </w:r>
    </w:p>
    <w:p w14:paraId="4410D8A8" w14:textId="77777777" w:rsidR="00C64F44" w:rsidRPr="00C873EE" w:rsidRDefault="00C64F44" w:rsidP="00C64F44">
      <w:pPr>
        <w:pStyle w:val="ListParagraph"/>
        <w:rPr>
          <w:lang w:val="en-GB"/>
        </w:rPr>
      </w:pPr>
    </w:p>
    <w:p w14:paraId="1AF71044" w14:textId="16B47B59" w:rsidR="003B1AB2" w:rsidRPr="00C873EE" w:rsidRDefault="003B1AB2" w:rsidP="00C64F44">
      <w:pPr>
        <w:pStyle w:val="ListParagraph"/>
        <w:numPr>
          <w:ilvl w:val="0"/>
          <w:numId w:val="5"/>
        </w:numPr>
        <w:ind w:left="1077" w:hanging="720"/>
        <w:rPr>
          <w:lang w:val="en-GB"/>
        </w:rPr>
      </w:pPr>
      <w:r w:rsidRPr="00697D2F">
        <w:rPr>
          <w:lang w:val="en-GB"/>
        </w:rPr>
        <w:t xml:space="preserve">The Proposal ensures that the procurement of balancing services is fair, objective, transparent and market-based, avoids undue barriers to entry for new entrants, fosters the liquidity of balancing markets while preventing undue distortions within the internal market in electricity (Article 3(1)(e) of the EB Balancing) since the TSOs propose the establishment of a common </w:t>
      </w:r>
      <w:r w:rsidR="009D7637">
        <w:rPr>
          <w:lang w:val="en-GB"/>
        </w:rPr>
        <w:t>balancing</w:t>
      </w:r>
      <w:r w:rsidRPr="00697D2F">
        <w:rPr>
          <w:lang w:val="en-GB"/>
        </w:rPr>
        <w:t xml:space="preserve"> capacity market for the entire Nordic region</w:t>
      </w:r>
      <w:r>
        <w:rPr>
          <w:lang w:val="en-GB"/>
        </w:rPr>
        <w:t xml:space="preserve"> in which there is a market-based allocation process for CZC</w:t>
      </w:r>
      <w:r w:rsidRPr="00697D2F">
        <w:rPr>
          <w:lang w:val="en-GB"/>
        </w:rPr>
        <w:t>.</w:t>
      </w:r>
    </w:p>
    <w:p w14:paraId="2703F222" w14:textId="77777777" w:rsidR="00C64F44" w:rsidRPr="00C873EE" w:rsidRDefault="00C64F44" w:rsidP="00C64F44">
      <w:pPr>
        <w:pStyle w:val="ListParagraph"/>
        <w:rPr>
          <w:lang w:val="en-GB"/>
        </w:rPr>
      </w:pPr>
    </w:p>
    <w:p w14:paraId="5D6CBEF8" w14:textId="77777777" w:rsidR="00C64F44" w:rsidRPr="00C873EE" w:rsidRDefault="00C64F44" w:rsidP="00C64F44">
      <w:pPr>
        <w:pStyle w:val="ListParagraph"/>
        <w:numPr>
          <w:ilvl w:val="0"/>
          <w:numId w:val="5"/>
        </w:numPr>
        <w:spacing w:after="120"/>
        <w:ind w:left="1080" w:hanging="720"/>
        <w:rPr>
          <w:lang w:val="en-GB"/>
        </w:rPr>
      </w:pPr>
      <w:bookmarkStart w:id="6" w:name="_Ref436817321"/>
      <w:r w:rsidRPr="00C873EE">
        <w:rPr>
          <w:lang w:val="en-GB"/>
        </w:rPr>
        <w:t>In conclusion, the Proposal contributes to the general objectives of the EB Regulation to the benefit of all market participants and electricity end consumers.</w:t>
      </w:r>
      <w:bookmarkEnd w:id="6"/>
    </w:p>
    <w:p w14:paraId="2FE707E9" w14:textId="77777777" w:rsidR="00C64F44" w:rsidRPr="00C873EE" w:rsidRDefault="00C64F44" w:rsidP="00C64F44"/>
    <w:p w14:paraId="4D274AFD" w14:textId="32208224" w:rsidR="00C64F44" w:rsidRPr="00C873EE" w:rsidRDefault="00C64F44" w:rsidP="00C64F44">
      <w:pPr>
        <w:spacing w:after="120"/>
        <w:jc w:val="both"/>
      </w:pPr>
      <w:r w:rsidRPr="00C873EE">
        <w:t xml:space="preserve">SUBMIT THE FOLLOWING PROPOSAL TO ALL REGULATORY AUTHORITIES OF </w:t>
      </w:r>
      <w:r w:rsidR="000C12C7" w:rsidRPr="00C873EE">
        <w:t xml:space="preserve">THE </w:t>
      </w:r>
      <w:r w:rsidRPr="00C873EE">
        <w:t>CCR NORDIC:</w:t>
      </w:r>
    </w:p>
    <w:p w14:paraId="7774A17A" w14:textId="77777777" w:rsidR="00C64F44" w:rsidRPr="00C873EE" w:rsidRDefault="00C64F44" w:rsidP="00C64F44">
      <w:r w:rsidRPr="00C873EE">
        <w:br w:type="page"/>
      </w:r>
    </w:p>
    <w:p w14:paraId="5063AFCB" w14:textId="77777777" w:rsidR="00C64F44" w:rsidRPr="00C873EE" w:rsidRDefault="00C64F44" w:rsidP="00C64F44">
      <w:pPr>
        <w:pStyle w:val="headline2"/>
      </w:pPr>
      <w:bookmarkStart w:id="7" w:name="_Toc5296533"/>
      <w:bookmarkStart w:id="8" w:name="_Toc27486677"/>
      <w:bookmarkStart w:id="9" w:name="_Toc432586769"/>
      <w:bookmarkStart w:id="10" w:name="_Toc432586789"/>
      <w:r w:rsidRPr="00C873EE">
        <w:t>TITLE 1</w:t>
      </w:r>
      <w:r w:rsidRPr="00C873EE">
        <w:br/>
        <w:t>General provisions</w:t>
      </w:r>
      <w:bookmarkEnd w:id="7"/>
      <w:bookmarkEnd w:id="8"/>
    </w:p>
    <w:p w14:paraId="1B5BDCEF" w14:textId="77777777" w:rsidR="00C64F44" w:rsidRPr="00C873EE" w:rsidRDefault="00C64F44" w:rsidP="00C64F44">
      <w:pPr>
        <w:pStyle w:val="headline2"/>
      </w:pPr>
      <w:bookmarkStart w:id="11" w:name="_Toc5296534"/>
      <w:bookmarkStart w:id="12" w:name="_Toc27486678"/>
      <w:r w:rsidRPr="00C873EE">
        <w:t>Article 1</w:t>
      </w:r>
      <w:r w:rsidRPr="00C873EE">
        <w:br/>
        <w:t>Subject matter and scope</w:t>
      </w:r>
      <w:bookmarkEnd w:id="9"/>
      <w:bookmarkEnd w:id="10"/>
      <w:bookmarkEnd w:id="11"/>
      <w:bookmarkEnd w:id="12"/>
    </w:p>
    <w:p w14:paraId="2E377CAA" w14:textId="2863AFE8" w:rsidR="00C64F44" w:rsidRPr="00C873EE" w:rsidRDefault="00C64F44" w:rsidP="00C64F44">
      <w:pPr>
        <w:pStyle w:val="ListParagraph"/>
        <w:numPr>
          <w:ilvl w:val="0"/>
          <w:numId w:val="18"/>
        </w:numPr>
        <w:spacing w:after="120"/>
        <w:contextualSpacing w:val="0"/>
        <w:rPr>
          <w:lang w:val="en-GB"/>
        </w:rPr>
      </w:pPr>
      <w:r w:rsidRPr="00C873EE">
        <w:rPr>
          <w:lang w:val="en-GB"/>
        </w:rPr>
        <w:t xml:space="preserve">The Proposal shall be considered as the common proposal from the TSOs for the application of </w:t>
      </w:r>
      <w:r w:rsidR="00D821E2" w:rsidRPr="00C873EE">
        <w:rPr>
          <w:lang w:val="en-GB"/>
        </w:rPr>
        <w:t xml:space="preserve">a </w:t>
      </w:r>
      <w:r w:rsidRPr="00C873EE">
        <w:rPr>
          <w:lang w:val="en-GB"/>
        </w:rPr>
        <w:t>market-based allocation process for the exchange of balancing capacity in accordance with Article 41</w:t>
      </w:r>
      <w:r w:rsidR="00EA41B8" w:rsidRPr="00C873EE">
        <w:rPr>
          <w:lang w:val="en-GB"/>
        </w:rPr>
        <w:t>(1)</w:t>
      </w:r>
      <w:r w:rsidRPr="00C873EE">
        <w:rPr>
          <w:lang w:val="en-GB"/>
        </w:rPr>
        <w:t xml:space="preserve"> of the EB Regulation taking into account </w:t>
      </w:r>
      <w:r w:rsidR="00D821E2" w:rsidRPr="00C873EE">
        <w:rPr>
          <w:lang w:val="en-GB"/>
        </w:rPr>
        <w:t xml:space="preserve">the </w:t>
      </w:r>
      <w:r w:rsidRPr="00C873EE">
        <w:rPr>
          <w:lang w:val="en-GB"/>
        </w:rPr>
        <w:t xml:space="preserve">calculation of </w:t>
      </w:r>
      <w:r w:rsidR="00D821E2" w:rsidRPr="00C873EE">
        <w:rPr>
          <w:lang w:val="en-GB"/>
        </w:rPr>
        <w:t xml:space="preserve">the </w:t>
      </w:r>
      <w:r w:rsidRPr="00C873EE">
        <w:rPr>
          <w:lang w:val="en-GB"/>
        </w:rPr>
        <w:t>market value of CZC in accordance with Article 39 of the EB Regulation.</w:t>
      </w:r>
    </w:p>
    <w:p w14:paraId="21B6564F" w14:textId="13602B47" w:rsidR="00C64F44" w:rsidRPr="00C873EE" w:rsidRDefault="00C64F44" w:rsidP="00C64F44">
      <w:pPr>
        <w:pStyle w:val="ListParagraph"/>
        <w:numPr>
          <w:ilvl w:val="0"/>
          <w:numId w:val="18"/>
        </w:numPr>
        <w:spacing w:after="120"/>
        <w:contextualSpacing w:val="0"/>
        <w:rPr>
          <w:lang w:val="en-GB"/>
        </w:rPr>
      </w:pPr>
      <w:r w:rsidRPr="00C873EE">
        <w:rPr>
          <w:lang w:val="en-GB"/>
        </w:rPr>
        <w:t>The Proposal covers the bidding zones and bidding zone borders of the CCR Nordic as defined in accordance with Article 15 of the CACM Regulation.</w:t>
      </w:r>
    </w:p>
    <w:p w14:paraId="6B19D24A" w14:textId="6B690E05" w:rsidR="00C64F44" w:rsidRPr="00C873EE" w:rsidRDefault="00C64F44" w:rsidP="00C64F44">
      <w:pPr>
        <w:pStyle w:val="ListParagraph"/>
        <w:numPr>
          <w:ilvl w:val="0"/>
          <w:numId w:val="18"/>
        </w:numPr>
        <w:autoSpaceDE w:val="0"/>
        <w:autoSpaceDN w:val="0"/>
        <w:adjustRightInd w:val="0"/>
        <w:spacing w:after="120"/>
        <w:contextualSpacing w:val="0"/>
        <w:rPr>
          <w:lang w:val="en-GB"/>
        </w:rPr>
      </w:pPr>
      <w:r w:rsidRPr="00C873EE">
        <w:rPr>
          <w:lang w:val="en-GB"/>
        </w:rPr>
        <w:t>The Proposal shall apply only for the exchange of balancing capacity.</w:t>
      </w:r>
    </w:p>
    <w:p w14:paraId="58A5468F" w14:textId="4CBAF977" w:rsidR="00C64F44" w:rsidRPr="00C873EE" w:rsidRDefault="00C64F44" w:rsidP="00C64F44">
      <w:pPr>
        <w:pStyle w:val="textregular"/>
        <w:numPr>
          <w:ilvl w:val="0"/>
          <w:numId w:val="18"/>
        </w:numPr>
        <w:jc w:val="both"/>
      </w:pPr>
      <w:r w:rsidRPr="00C873EE">
        <w:t>The scope of the Proposal does not extend to the assignment of roles and responsibilities to specific parties. The governance framework for specific roles or responsibilities and TSO-TSO settlement rules are out of scope of the Proposal. These aspects shall be defined by the TSOs where required in accordance with Article</w:t>
      </w:r>
      <w:bookmarkStart w:id="13" w:name="_Hlk22904206"/>
      <w:r w:rsidRPr="00C873EE">
        <w:t> </w:t>
      </w:r>
      <w:bookmarkEnd w:id="13"/>
      <w:r w:rsidRPr="00C873EE">
        <w:t>33 and Article</w:t>
      </w:r>
      <w:r w:rsidR="00865310" w:rsidRPr="00C873EE">
        <w:t> </w:t>
      </w:r>
      <w:r w:rsidRPr="00C873EE">
        <w:t>38 of the EB Regulation.</w:t>
      </w:r>
    </w:p>
    <w:p w14:paraId="5790C885" w14:textId="29F50BC2" w:rsidR="00C64F44" w:rsidRPr="00C873EE" w:rsidRDefault="00C64F44" w:rsidP="00C64F44">
      <w:pPr>
        <w:pStyle w:val="textregular"/>
        <w:numPr>
          <w:ilvl w:val="0"/>
          <w:numId w:val="18"/>
        </w:numPr>
        <w:jc w:val="both"/>
      </w:pPr>
      <w:r w:rsidRPr="00C873EE">
        <w:t xml:space="preserve">The implementation of the allocation of CZC </w:t>
      </w:r>
      <w:r w:rsidR="00865310" w:rsidRPr="00C873EE">
        <w:t>using a</w:t>
      </w:r>
      <w:r w:rsidRPr="00C873EE">
        <w:t xml:space="preserve"> market-based allocation methodology is a voluntary initiative by two or more TSOs or </w:t>
      </w:r>
      <w:r w:rsidR="00865310" w:rsidRPr="00C873EE">
        <w:t xml:space="preserve">done </w:t>
      </w:r>
      <w:r w:rsidRPr="00C873EE">
        <w:t xml:space="preserve">at the request of their relevant regulatory authorities in accordance with </w:t>
      </w:r>
      <w:r w:rsidR="002973C4" w:rsidRPr="00C873EE">
        <w:t>A</w:t>
      </w:r>
      <w:r w:rsidR="001C3427" w:rsidRPr="00C873EE">
        <w:t>rticle 59 of Dire</w:t>
      </w:r>
      <w:r w:rsidR="006E11F4" w:rsidRPr="00C873EE">
        <w:t>c</w:t>
      </w:r>
      <w:r w:rsidR="001C3427" w:rsidRPr="00C873EE">
        <w:t xml:space="preserve">tive (EU) 2019/944 </w:t>
      </w:r>
      <w:r w:rsidRPr="00C873EE">
        <w:t>and is therefore not mandatory.</w:t>
      </w:r>
    </w:p>
    <w:p w14:paraId="686977B9" w14:textId="77777777" w:rsidR="00C64F44" w:rsidRPr="00C873EE" w:rsidRDefault="00C64F44" w:rsidP="00C64F44">
      <w:pPr>
        <w:pStyle w:val="ListParagraph"/>
        <w:ind w:left="360"/>
        <w:rPr>
          <w:lang w:val="en-GB"/>
        </w:rPr>
      </w:pPr>
    </w:p>
    <w:p w14:paraId="3122D324" w14:textId="77777777" w:rsidR="00C64F44" w:rsidRPr="00C873EE" w:rsidRDefault="00C64F44" w:rsidP="00C64F44">
      <w:pPr>
        <w:pStyle w:val="headline2"/>
      </w:pPr>
      <w:bookmarkStart w:id="14" w:name="_Toc432586770"/>
      <w:bookmarkStart w:id="15" w:name="_Toc432586790"/>
      <w:bookmarkStart w:id="16" w:name="_Toc5296535"/>
      <w:bookmarkStart w:id="17" w:name="_Toc27486679"/>
      <w:r w:rsidRPr="00C873EE">
        <w:t>Article 2</w:t>
      </w:r>
      <w:r w:rsidRPr="00C873EE">
        <w:br/>
        <w:t>Definitions and interpretation</w:t>
      </w:r>
      <w:bookmarkEnd w:id="14"/>
      <w:bookmarkEnd w:id="15"/>
      <w:bookmarkEnd w:id="16"/>
      <w:bookmarkEnd w:id="17"/>
    </w:p>
    <w:p w14:paraId="200AEB3D" w14:textId="61C31608" w:rsidR="00C64F44" w:rsidRPr="00C873EE" w:rsidRDefault="00C64F44" w:rsidP="00C64F44">
      <w:pPr>
        <w:pStyle w:val="ListParagraph"/>
        <w:numPr>
          <w:ilvl w:val="0"/>
          <w:numId w:val="9"/>
        </w:numPr>
        <w:spacing w:after="120"/>
        <w:rPr>
          <w:lang w:val="en-GB"/>
        </w:rPr>
      </w:pPr>
      <w:r w:rsidRPr="00C873EE">
        <w:rPr>
          <w:lang w:val="en-GB"/>
        </w:rPr>
        <w:t xml:space="preserve">For the purposes of the Proposal, terms used in this Proposal shall have the meaning of the definitions included in Article 2 of the EB Regulation, Article 3 of the SO Regulation and Article 2 of the CACM Regulation, Regulation </w:t>
      </w:r>
      <w:r w:rsidR="001C3427" w:rsidRPr="00C873EE">
        <w:rPr>
          <w:lang w:val="en-GB"/>
        </w:rPr>
        <w:t xml:space="preserve">(EU) </w:t>
      </w:r>
      <w:r w:rsidR="00FC63A0" w:rsidRPr="00C873EE">
        <w:rPr>
          <w:lang w:val="en-GB"/>
        </w:rPr>
        <w:t>2019/943</w:t>
      </w:r>
      <w:r w:rsidRPr="00C873EE">
        <w:rPr>
          <w:lang w:val="en-GB"/>
        </w:rPr>
        <w:t>, Commission Regulation (EU) No 543/2013 of 14 June 2013 on submission and publication of data in electricity markets and amending Annex I to Regulation (EC) No 714/2009 of the European Parliament and of the Council (hereafter referred to as "Transparency Regulation") and Directive</w:t>
      </w:r>
      <w:r w:rsidR="001C3427" w:rsidRPr="00C873EE">
        <w:rPr>
          <w:rStyle w:val="CommentReference"/>
          <w:lang w:val="en-GB"/>
        </w:rPr>
        <w:t xml:space="preserve"> </w:t>
      </w:r>
      <w:r w:rsidR="001C3427" w:rsidRPr="00C873EE">
        <w:rPr>
          <w:rStyle w:val="CommentReference"/>
          <w:sz w:val="22"/>
          <w:szCs w:val="22"/>
          <w:lang w:val="en-GB"/>
        </w:rPr>
        <w:t>(EU) 2019/944</w:t>
      </w:r>
      <w:r w:rsidR="001C3427" w:rsidRPr="00C873EE">
        <w:rPr>
          <w:rStyle w:val="CommentReference"/>
          <w:lang w:val="en-GB"/>
        </w:rPr>
        <w:t>.</w:t>
      </w:r>
    </w:p>
    <w:p w14:paraId="5DEF50DC" w14:textId="77777777" w:rsidR="00C64F44" w:rsidRPr="00C873EE" w:rsidRDefault="00C64F44" w:rsidP="00C64F44">
      <w:pPr>
        <w:pStyle w:val="ListParagraph"/>
        <w:spacing w:after="120"/>
        <w:ind w:left="360"/>
        <w:rPr>
          <w:lang w:val="en-GB"/>
        </w:rPr>
      </w:pPr>
    </w:p>
    <w:p w14:paraId="40FDEF9F" w14:textId="14311191" w:rsidR="00C64F44" w:rsidRPr="00C873EE" w:rsidRDefault="00C64F44" w:rsidP="00C64F44">
      <w:pPr>
        <w:pStyle w:val="ListParagraph"/>
        <w:numPr>
          <w:ilvl w:val="0"/>
          <w:numId w:val="9"/>
        </w:numPr>
        <w:spacing w:after="120"/>
        <w:rPr>
          <w:lang w:val="en-GB"/>
        </w:rPr>
      </w:pPr>
      <w:r w:rsidRPr="00C873EE">
        <w:rPr>
          <w:lang w:val="en-GB"/>
        </w:rPr>
        <w:t>In addition, in the Proposal, unless the context requires otherwise, the following terms shall have the meaning below:</w:t>
      </w:r>
    </w:p>
    <w:p w14:paraId="68DE8F96" w14:textId="397BA74A" w:rsidR="00C64F44" w:rsidRPr="00C873EE" w:rsidRDefault="00C64F44" w:rsidP="00C64F44">
      <w:pPr>
        <w:pStyle w:val="ListParagraph"/>
        <w:numPr>
          <w:ilvl w:val="0"/>
          <w:numId w:val="11"/>
        </w:numPr>
        <w:spacing w:after="120"/>
        <w:ind w:left="1068"/>
        <w:rPr>
          <w:lang w:val="en-GB"/>
        </w:rPr>
      </w:pPr>
      <w:r w:rsidRPr="00C873EE">
        <w:rPr>
          <w:lang w:val="en-GB"/>
        </w:rPr>
        <w:t xml:space="preserve">“market time unit (MTU)” means the market time unit for the Nordic balancing capacity market, which equals the MTU applied in </w:t>
      </w:r>
      <w:r w:rsidR="00B9607F" w:rsidRPr="00C873EE">
        <w:rPr>
          <w:lang w:val="en-GB"/>
        </w:rPr>
        <w:t xml:space="preserve">the </w:t>
      </w:r>
      <w:r w:rsidRPr="00C873EE">
        <w:rPr>
          <w:lang w:val="en-GB"/>
        </w:rPr>
        <w:t>day-ahead market timeframe;</w:t>
      </w:r>
    </w:p>
    <w:p w14:paraId="3D374BC1" w14:textId="18D31D5F" w:rsidR="00C64F44" w:rsidRPr="00C873EE" w:rsidRDefault="00C64F44" w:rsidP="00C64F44">
      <w:pPr>
        <w:pStyle w:val="ListParagraph"/>
        <w:numPr>
          <w:ilvl w:val="0"/>
          <w:numId w:val="11"/>
        </w:numPr>
        <w:spacing w:after="120"/>
        <w:ind w:left="1068"/>
        <w:rPr>
          <w:lang w:val="en-GB"/>
        </w:rPr>
      </w:pPr>
      <w:r w:rsidRPr="00C873EE">
        <w:rPr>
          <w:lang w:val="en-GB"/>
        </w:rPr>
        <w:t xml:space="preserve">“reference day” means the day which is used to define </w:t>
      </w:r>
      <w:r w:rsidR="00B9607F" w:rsidRPr="00C873EE">
        <w:rPr>
          <w:lang w:val="en-GB"/>
        </w:rPr>
        <w:t xml:space="preserve">the </w:t>
      </w:r>
      <w:r w:rsidRPr="00C873EE">
        <w:rPr>
          <w:lang w:val="en-GB"/>
        </w:rPr>
        <w:t>forecasted value of CZC; and</w:t>
      </w:r>
    </w:p>
    <w:p w14:paraId="0D61F1ED" w14:textId="57CDA3E3" w:rsidR="00C64F44" w:rsidRPr="00C873EE" w:rsidRDefault="00C64F44" w:rsidP="00C64F44">
      <w:pPr>
        <w:pStyle w:val="ListParagraph"/>
        <w:numPr>
          <w:ilvl w:val="0"/>
          <w:numId w:val="11"/>
        </w:numPr>
        <w:spacing w:after="120"/>
        <w:ind w:left="1068"/>
        <w:rPr>
          <w:lang w:val="en-GB"/>
        </w:rPr>
      </w:pPr>
      <w:r w:rsidRPr="00C873EE">
        <w:rPr>
          <w:lang w:val="en-GB"/>
        </w:rPr>
        <w:t xml:space="preserve">“mark-up” means addition to the forecasted market value of CZC calculated in order to take into account the uncertainty in the forecasted market value of CZC during </w:t>
      </w:r>
      <w:r w:rsidR="00AA3E93" w:rsidRPr="00C873EE">
        <w:rPr>
          <w:lang w:val="en-GB"/>
        </w:rPr>
        <w:t xml:space="preserve">the </w:t>
      </w:r>
      <w:r w:rsidRPr="00C873EE">
        <w:rPr>
          <w:lang w:val="en-GB"/>
        </w:rPr>
        <w:t xml:space="preserve">application </w:t>
      </w:r>
      <w:r w:rsidR="00AA3E93" w:rsidRPr="00C873EE">
        <w:rPr>
          <w:lang w:val="en-GB"/>
        </w:rPr>
        <w:t xml:space="preserve">of </w:t>
      </w:r>
      <w:r w:rsidRPr="00C873EE">
        <w:rPr>
          <w:lang w:val="en-GB"/>
        </w:rPr>
        <w:t>the capacity procurement optimisation function.</w:t>
      </w:r>
    </w:p>
    <w:p w14:paraId="018AB72A" w14:textId="77777777" w:rsidR="00C64F44" w:rsidRPr="00C873EE" w:rsidRDefault="00C64F44" w:rsidP="00C64F44">
      <w:pPr>
        <w:pStyle w:val="ListParagraph"/>
        <w:spacing w:after="120"/>
        <w:ind w:left="1066"/>
        <w:rPr>
          <w:lang w:val="en-GB"/>
        </w:rPr>
      </w:pPr>
    </w:p>
    <w:p w14:paraId="41A18439" w14:textId="07152BC9" w:rsidR="00C64F44" w:rsidRPr="00C873EE" w:rsidRDefault="00C64F44" w:rsidP="00C64F44">
      <w:pPr>
        <w:pStyle w:val="ListParagraph"/>
        <w:numPr>
          <w:ilvl w:val="0"/>
          <w:numId w:val="9"/>
        </w:numPr>
        <w:spacing w:before="120" w:after="120"/>
        <w:ind w:left="357" w:hanging="357"/>
        <w:rPr>
          <w:lang w:val="en-GB"/>
        </w:rPr>
      </w:pPr>
      <w:r w:rsidRPr="00C873EE">
        <w:rPr>
          <w:lang w:val="en-GB"/>
        </w:rPr>
        <w:t>In the Proposal, unless the context requires otherwise:</w:t>
      </w:r>
    </w:p>
    <w:p w14:paraId="6C5A60DD" w14:textId="77777777" w:rsidR="00C64F44" w:rsidRPr="00C873EE" w:rsidRDefault="00C64F44" w:rsidP="00C64F44">
      <w:pPr>
        <w:pStyle w:val="ListParagraph"/>
        <w:numPr>
          <w:ilvl w:val="0"/>
          <w:numId w:val="6"/>
        </w:numPr>
        <w:spacing w:line="252" w:lineRule="auto"/>
        <w:ind w:left="1066" w:hanging="357"/>
        <w:rPr>
          <w:lang w:val="en-GB"/>
        </w:rPr>
      </w:pPr>
      <w:r w:rsidRPr="00C873EE">
        <w:rPr>
          <w:lang w:val="en-GB"/>
        </w:rPr>
        <w:t>the singular indicates the plural and vice versa;</w:t>
      </w:r>
    </w:p>
    <w:p w14:paraId="6242E1A3" w14:textId="77777777" w:rsidR="00C64F44" w:rsidRPr="00C873EE" w:rsidRDefault="00C64F44" w:rsidP="00C64F44">
      <w:pPr>
        <w:pStyle w:val="ListParagraph"/>
        <w:numPr>
          <w:ilvl w:val="0"/>
          <w:numId w:val="6"/>
        </w:numPr>
        <w:spacing w:line="252" w:lineRule="auto"/>
        <w:ind w:left="1066" w:hanging="357"/>
        <w:rPr>
          <w:lang w:val="en-GB"/>
        </w:rPr>
      </w:pPr>
      <w:r w:rsidRPr="00C873EE">
        <w:rPr>
          <w:lang w:val="en-GB"/>
        </w:rPr>
        <w:t>the table of contents and headings are inserted for convenience only and do not affect the interpretation of the Proposal; and</w:t>
      </w:r>
    </w:p>
    <w:p w14:paraId="3AD72506" w14:textId="523D7C36" w:rsidR="00C64F44" w:rsidRPr="00C873EE" w:rsidRDefault="00C64F44" w:rsidP="00C64F44">
      <w:pPr>
        <w:pStyle w:val="ListParagraph"/>
        <w:numPr>
          <w:ilvl w:val="0"/>
          <w:numId w:val="6"/>
        </w:numPr>
        <w:spacing w:line="252" w:lineRule="auto"/>
        <w:ind w:left="1066" w:hanging="357"/>
        <w:rPr>
          <w:lang w:val="en-GB"/>
        </w:rPr>
      </w:pPr>
      <w:r w:rsidRPr="00C873EE">
        <w:rPr>
          <w:lang w:val="en-GB"/>
        </w:rPr>
        <w:t>any reference to legislation, regulation, directive, order, instrument, code or any other enactment shall include any modification, extension or re-enactment of it then in force.</w:t>
      </w:r>
    </w:p>
    <w:p w14:paraId="6AB425DA" w14:textId="1BD2F451" w:rsidR="00C64F44" w:rsidRPr="00C873EE" w:rsidRDefault="00C64F44" w:rsidP="00C64F44">
      <w:pPr>
        <w:pStyle w:val="headline2"/>
        <w:keepNext/>
        <w:spacing w:before="480"/>
      </w:pPr>
      <w:bookmarkStart w:id="18" w:name="_Toc5296536"/>
      <w:bookmarkStart w:id="19" w:name="_Toc27486680"/>
      <w:bookmarkStart w:id="20" w:name="_Toc432586772"/>
      <w:bookmarkStart w:id="21" w:name="_Toc432586792"/>
      <w:r w:rsidRPr="00C873EE">
        <w:t>TITLE 2</w:t>
      </w:r>
      <w:r w:rsidRPr="00C873EE">
        <w:br/>
        <w:t xml:space="preserve">Proposal for </w:t>
      </w:r>
      <w:r w:rsidR="0085684D" w:rsidRPr="00C873EE">
        <w:t xml:space="preserve">a </w:t>
      </w:r>
      <w:r w:rsidRPr="00C873EE">
        <w:t>market-based allocation process of CZC for the exchange of balancing capacity</w:t>
      </w:r>
      <w:bookmarkEnd w:id="18"/>
      <w:bookmarkEnd w:id="19"/>
    </w:p>
    <w:p w14:paraId="1C1D11C3" w14:textId="06F392F5" w:rsidR="00C64F44" w:rsidRPr="00C873EE" w:rsidRDefault="00C64F44" w:rsidP="00C64F44">
      <w:pPr>
        <w:pStyle w:val="headline2"/>
      </w:pPr>
      <w:bookmarkStart w:id="22" w:name="_Toc5296537"/>
      <w:bookmarkStart w:id="23" w:name="_Toc27486681"/>
      <w:r w:rsidRPr="00C873EE">
        <w:t>Article 3</w:t>
      </w:r>
      <w:r w:rsidRPr="00C873EE">
        <w:br/>
        <w:t xml:space="preserve">Notification process for the use of </w:t>
      </w:r>
      <w:r w:rsidR="0085684D" w:rsidRPr="00C873EE">
        <w:t xml:space="preserve">a </w:t>
      </w:r>
      <w:r w:rsidRPr="00C873EE">
        <w:t>market-based allocation process</w:t>
      </w:r>
      <w:bookmarkEnd w:id="22"/>
      <w:bookmarkEnd w:id="23"/>
    </w:p>
    <w:p w14:paraId="223F1918" w14:textId="417DF7B4" w:rsidR="00C64F44" w:rsidRPr="00C873EE" w:rsidRDefault="00C64F44" w:rsidP="00C64F44">
      <w:pPr>
        <w:pStyle w:val="textregular"/>
        <w:numPr>
          <w:ilvl w:val="0"/>
          <w:numId w:val="15"/>
        </w:numPr>
        <w:spacing w:line="259" w:lineRule="auto"/>
        <w:jc w:val="both"/>
      </w:pPr>
      <w:r w:rsidRPr="00C873EE">
        <w:t xml:space="preserve">The TSOs shall notify Transmission System Operator(s) located in the Nordic synchronous area about </w:t>
      </w:r>
      <w:r w:rsidR="0085684D" w:rsidRPr="00C873EE">
        <w:t xml:space="preserve">the </w:t>
      </w:r>
      <w:r w:rsidRPr="00C873EE">
        <w:t xml:space="preserve">establishment of </w:t>
      </w:r>
      <w:r w:rsidR="0085684D" w:rsidRPr="00C873EE">
        <w:t xml:space="preserve">a </w:t>
      </w:r>
      <w:r w:rsidRPr="00C873EE">
        <w:t>Nordic balancing capacity market in accordance with Article 150 of the SO Regulation. This notification shall include</w:t>
      </w:r>
      <w:r w:rsidR="0085684D" w:rsidRPr="00C873EE">
        <w:t xml:space="preserve"> the</w:t>
      </w:r>
      <w:r w:rsidRPr="00C873EE">
        <w:t>:</w:t>
      </w:r>
    </w:p>
    <w:p w14:paraId="69B26A7C" w14:textId="77777777" w:rsidR="00C64F44" w:rsidRPr="00C873EE" w:rsidRDefault="00C64F44" w:rsidP="00C64F44">
      <w:pPr>
        <w:pStyle w:val="textregular"/>
        <w:numPr>
          <w:ilvl w:val="0"/>
          <w:numId w:val="14"/>
        </w:numPr>
        <w:spacing w:line="259" w:lineRule="auto"/>
        <w:jc w:val="both"/>
      </w:pPr>
      <w:r w:rsidRPr="00C873EE">
        <w:t>transmission system operators involved;</w:t>
      </w:r>
    </w:p>
    <w:p w14:paraId="7CABFCCC" w14:textId="77777777" w:rsidR="00C64F44" w:rsidRPr="00C873EE" w:rsidRDefault="00C64F44" w:rsidP="00C64F44">
      <w:pPr>
        <w:pStyle w:val="textregular"/>
        <w:numPr>
          <w:ilvl w:val="0"/>
          <w:numId w:val="14"/>
        </w:numPr>
        <w:spacing w:line="259" w:lineRule="auto"/>
        <w:jc w:val="both"/>
      </w:pPr>
      <w:r w:rsidRPr="00C873EE">
        <w:t xml:space="preserve">expected date for the balancing capacity market pursuant to Article 33(1) of the EB Regulation with the CZC allocation to enter into operation; </w:t>
      </w:r>
    </w:p>
    <w:p w14:paraId="6D0E1192" w14:textId="166F6EF5" w:rsidR="00C64F44" w:rsidRPr="00C873EE" w:rsidRDefault="00C64F44" w:rsidP="00C64F44">
      <w:pPr>
        <w:pStyle w:val="textregular"/>
        <w:numPr>
          <w:ilvl w:val="0"/>
          <w:numId w:val="14"/>
        </w:numPr>
        <w:spacing w:line="259" w:lineRule="auto"/>
        <w:jc w:val="both"/>
      </w:pPr>
      <w:r w:rsidRPr="00C873EE">
        <w:t>expected amount of power interchange due to</w:t>
      </w:r>
      <w:r w:rsidR="0085684D" w:rsidRPr="00C873EE">
        <w:t xml:space="preserve"> the</w:t>
      </w:r>
      <w:r w:rsidRPr="00C873EE">
        <w:t xml:space="preserve"> cross-zonal balancing capacity activation process;</w:t>
      </w:r>
    </w:p>
    <w:p w14:paraId="4FC50ACB" w14:textId="49597813" w:rsidR="00C64F44" w:rsidRPr="00C873EE" w:rsidRDefault="00C64F44" w:rsidP="00C64F44">
      <w:pPr>
        <w:pStyle w:val="textregular"/>
        <w:numPr>
          <w:ilvl w:val="0"/>
          <w:numId w:val="14"/>
        </w:numPr>
        <w:spacing w:line="259" w:lineRule="auto"/>
        <w:jc w:val="both"/>
      </w:pPr>
      <w:r w:rsidRPr="00C873EE">
        <w:t xml:space="preserve">reserve type and maximum </w:t>
      </w:r>
      <w:r w:rsidR="0085684D" w:rsidRPr="00C873EE">
        <w:t xml:space="preserve">volume </w:t>
      </w:r>
      <w:r w:rsidRPr="00C873EE">
        <w:t>of exchange of balancing capacity; and</w:t>
      </w:r>
    </w:p>
    <w:p w14:paraId="553BF838" w14:textId="7DCD2932" w:rsidR="00C64F44" w:rsidRPr="00C873EE" w:rsidRDefault="00C64F44" w:rsidP="00C64F44">
      <w:pPr>
        <w:pStyle w:val="textregular"/>
        <w:numPr>
          <w:ilvl w:val="0"/>
          <w:numId w:val="14"/>
        </w:numPr>
        <w:spacing w:line="259" w:lineRule="auto"/>
        <w:jc w:val="both"/>
      </w:pPr>
      <w:r w:rsidRPr="00C873EE">
        <w:t xml:space="preserve">timeframe of </w:t>
      </w:r>
      <w:r w:rsidR="0085684D" w:rsidRPr="00C873EE">
        <w:t xml:space="preserve">the </w:t>
      </w:r>
      <w:r w:rsidRPr="00C873EE">
        <w:t xml:space="preserve">exchange of balancing capacity. </w:t>
      </w:r>
    </w:p>
    <w:p w14:paraId="78AE5A73" w14:textId="77777777" w:rsidR="00C64F44" w:rsidRPr="00C873EE" w:rsidRDefault="00C64F44" w:rsidP="00C64F44">
      <w:pPr>
        <w:pStyle w:val="textregular"/>
        <w:numPr>
          <w:ilvl w:val="0"/>
          <w:numId w:val="15"/>
        </w:numPr>
        <w:spacing w:after="0" w:line="259" w:lineRule="auto"/>
        <w:jc w:val="both"/>
      </w:pPr>
      <w:r w:rsidRPr="00C873EE">
        <w:t>The TSOs shall make the notification at least 3 months before the CZC allocation process enters into operation.</w:t>
      </w:r>
    </w:p>
    <w:p w14:paraId="53D0F360" w14:textId="77777777" w:rsidR="00C64F44" w:rsidRPr="00C873EE" w:rsidRDefault="00C64F44" w:rsidP="00C64F44">
      <w:pPr>
        <w:pStyle w:val="ListParagraph"/>
        <w:rPr>
          <w:lang w:val="en-GB"/>
        </w:rPr>
      </w:pPr>
    </w:p>
    <w:p w14:paraId="12157E9F" w14:textId="77777777" w:rsidR="00C64F44" w:rsidRPr="00C873EE" w:rsidRDefault="00C64F44" w:rsidP="00C64F44">
      <w:pPr>
        <w:pStyle w:val="headline2"/>
      </w:pPr>
      <w:bookmarkStart w:id="24" w:name="_Toc5296538"/>
      <w:bookmarkStart w:id="25" w:name="_Toc27486682"/>
      <w:r w:rsidRPr="00C873EE">
        <w:t>Article 4</w:t>
      </w:r>
      <w:r w:rsidRPr="00C873EE">
        <w:br/>
        <w:t>Maximum volume of allocated CZC for the exchange of balancing capacity</w:t>
      </w:r>
      <w:bookmarkEnd w:id="24"/>
      <w:bookmarkEnd w:id="25"/>
      <w:r w:rsidRPr="00C873EE">
        <w:t xml:space="preserve"> </w:t>
      </w:r>
    </w:p>
    <w:p w14:paraId="5DA75DF2" w14:textId="157B1099" w:rsidR="00C64F44" w:rsidRPr="00C873EE" w:rsidRDefault="00C64F44" w:rsidP="00C64F44">
      <w:pPr>
        <w:pStyle w:val="ListParagraph"/>
        <w:numPr>
          <w:ilvl w:val="0"/>
          <w:numId w:val="16"/>
        </w:numPr>
        <w:spacing w:after="120"/>
        <w:contextualSpacing w:val="0"/>
        <w:rPr>
          <w:lang w:val="en-GB"/>
        </w:rPr>
      </w:pPr>
      <w:r w:rsidRPr="00C873EE">
        <w:rPr>
          <w:lang w:val="en-GB"/>
        </w:rPr>
        <w:t>A maximum of 10 % of the forecasted CZC</w:t>
      </w:r>
      <w:r w:rsidR="00A61F4F" w:rsidRPr="00C873EE">
        <w:rPr>
          <w:lang w:val="en-GB"/>
        </w:rPr>
        <w:t xml:space="preserve"> for each bidding zone border</w:t>
      </w:r>
      <w:r w:rsidR="0017727B" w:rsidRPr="00C873EE">
        <w:rPr>
          <w:lang w:val="en-GB"/>
        </w:rPr>
        <w:t xml:space="preserve"> </w:t>
      </w:r>
      <w:r w:rsidRPr="00C873EE">
        <w:rPr>
          <w:lang w:val="en-GB"/>
        </w:rPr>
        <w:t xml:space="preserve">for </w:t>
      </w:r>
      <w:r w:rsidR="0017727B" w:rsidRPr="00C873EE">
        <w:rPr>
          <w:lang w:val="en-GB"/>
        </w:rPr>
        <w:t xml:space="preserve">the </w:t>
      </w:r>
      <w:r w:rsidRPr="00C873EE">
        <w:rPr>
          <w:lang w:val="en-GB"/>
        </w:rPr>
        <w:t xml:space="preserve">day-ahead timeframe shall be </w:t>
      </w:r>
      <w:r w:rsidR="00D3244D" w:rsidRPr="00C873EE">
        <w:rPr>
          <w:lang w:val="en-GB"/>
        </w:rPr>
        <w:t xml:space="preserve">allocated </w:t>
      </w:r>
      <w:r w:rsidRPr="00C873EE">
        <w:rPr>
          <w:lang w:val="en-GB"/>
        </w:rPr>
        <w:t xml:space="preserve">for the exchange of balancing capacity. The TSOs shall use </w:t>
      </w:r>
      <w:r w:rsidR="00A61F4F" w:rsidRPr="00C873EE">
        <w:rPr>
          <w:lang w:val="en-GB"/>
        </w:rPr>
        <w:t>the latest available</w:t>
      </w:r>
      <w:r w:rsidR="002973C4" w:rsidRPr="00C873EE">
        <w:rPr>
          <w:lang w:val="en-GB"/>
        </w:rPr>
        <w:t xml:space="preserve"> CZC</w:t>
      </w:r>
      <w:r w:rsidR="00A61F4F" w:rsidRPr="00C873EE">
        <w:rPr>
          <w:lang w:val="en-GB"/>
        </w:rPr>
        <w:t xml:space="preserve"> </w:t>
      </w:r>
      <w:r w:rsidR="002973C4" w:rsidRPr="00C873EE">
        <w:rPr>
          <w:lang w:val="en-GB"/>
        </w:rPr>
        <w:t xml:space="preserve">calculated </w:t>
      </w:r>
      <w:r w:rsidR="00A61F4F" w:rsidRPr="00C873EE">
        <w:rPr>
          <w:lang w:val="en-GB"/>
        </w:rPr>
        <w:t xml:space="preserve">for the day-ahead timeframe </w:t>
      </w:r>
      <w:r w:rsidRPr="00C873EE">
        <w:rPr>
          <w:lang w:val="en-GB"/>
        </w:rPr>
        <w:t xml:space="preserve">when setting the maximum volume </w:t>
      </w:r>
      <w:r w:rsidR="00A61F4F" w:rsidRPr="00C873EE">
        <w:rPr>
          <w:lang w:val="en-GB"/>
        </w:rPr>
        <w:t xml:space="preserve">of CZC </w:t>
      </w:r>
      <w:r w:rsidRPr="00C873EE">
        <w:rPr>
          <w:lang w:val="en-GB"/>
        </w:rPr>
        <w:t>for CZC allocation.</w:t>
      </w:r>
    </w:p>
    <w:p w14:paraId="78CBF1FD" w14:textId="38AD4FF2" w:rsidR="00C64F44" w:rsidRPr="00C873EE" w:rsidRDefault="00C64F44" w:rsidP="00C64F44">
      <w:pPr>
        <w:pStyle w:val="ListParagraph"/>
        <w:numPr>
          <w:ilvl w:val="0"/>
          <w:numId w:val="16"/>
        </w:numPr>
        <w:spacing w:after="120"/>
        <w:contextualSpacing w:val="0"/>
        <w:rPr>
          <w:lang w:val="en-GB"/>
        </w:rPr>
      </w:pPr>
      <w:r w:rsidRPr="00C873EE">
        <w:rPr>
          <w:lang w:val="en-GB"/>
        </w:rPr>
        <w:t xml:space="preserve">CZC allocated for the exchange of balancing capacity shall be used only for the exchange of balancing capacity and </w:t>
      </w:r>
      <w:r w:rsidR="00984FA9" w:rsidRPr="00C873EE">
        <w:rPr>
          <w:lang w:val="en-GB"/>
        </w:rPr>
        <w:t xml:space="preserve">the </w:t>
      </w:r>
      <w:r w:rsidRPr="00C873EE">
        <w:rPr>
          <w:lang w:val="en-GB"/>
        </w:rPr>
        <w:t>associated exchange of balancing energy.</w:t>
      </w:r>
    </w:p>
    <w:p w14:paraId="430F7863" w14:textId="77777777" w:rsidR="00C64F44" w:rsidRPr="00C873EE" w:rsidRDefault="00C64F44" w:rsidP="00C64F44">
      <w:pPr>
        <w:pStyle w:val="ListParagraph"/>
        <w:rPr>
          <w:lang w:val="en-GB"/>
        </w:rPr>
      </w:pPr>
    </w:p>
    <w:p w14:paraId="438A4302" w14:textId="784413FD" w:rsidR="00C64F44" w:rsidRPr="00C873EE" w:rsidRDefault="00C64F44" w:rsidP="00C64F44">
      <w:pPr>
        <w:pStyle w:val="headline2"/>
      </w:pPr>
      <w:bookmarkStart w:id="26" w:name="_Toc5296539"/>
      <w:bookmarkStart w:id="27" w:name="_Toc27486683"/>
      <w:r w:rsidRPr="00C873EE">
        <w:t>Article 5</w:t>
      </w:r>
      <w:r w:rsidRPr="00C873EE">
        <w:br/>
        <w:t xml:space="preserve">Determination of the </w:t>
      </w:r>
      <w:r w:rsidR="00FB0A54" w:rsidRPr="00C873EE">
        <w:t>market value of CZC for the exchange of energy</w:t>
      </w:r>
      <w:bookmarkEnd w:id="26"/>
      <w:bookmarkEnd w:id="27"/>
    </w:p>
    <w:p w14:paraId="7A9FF3D4" w14:textId="66BFCB57" w:rsidR="00FB0A54" w:rsidRPr="00C873EE" w:rsidRDefault="00FB0A54" w:rsidP="00FB0A54">
      <w:pPr>
        <w:pStyle w:val="ListParagraph"/>
        <w:numPr>
          <w:ilvl w:val="0"/>
          <w:numId w:val="8"/>
        </w:numPr>
        <w:spacing w:after="120"/>
        <w:ind w:left="357" w:hanging="357"/>
        <w:contextualSpacing w:val="0"/>
        <w:rPr>
          <w:lang w:val="en-GB"/>
        </w:rPr>
      </w:pPr>
      <w:r w:rsidRPr="00C873EE">
        <w:rPr>
          <w:lang w:val="en-GB"/>
        </w:rPr>
        <w:t xml:space="preserve">The process used to determine the volume of CZC reserved for the exchange of balancing capacity, described further in Article 6, makes use of </w:t>
      </w:r>
      <w:r w:rsidR="00B652FB" w:rsidRPr="00C873EE">
        <w:rPr>
          <w:lang w:val="en-GB"/>
        </w:rPr>
        <w:t>forecasted</w:t>
      </w:r>
      <w:r w:rsidRPr="00C873EE">
        <w:rPr>
          <w:lang w:val="en-GB"/>
        </w:rPr>
        <w:t xml:space="preserve"> market values for CZC when used for the exchange of energy.</w:t>
      </w:r>
    </w:p>
    <w:p w14:paraId="655A0147" w14:textId="08F11A5F" w:rsidR="00FB0A54" w:rsidRPr="00C873EE" w:rsidRDefault="00FB0A54" w:rsidP="00FB0A54">
      <w:pPr>
        <w:pStyle w:val="ListParagraph"/>
        <w:numPr>
          <w:ilvl w:val="0"/>
          <w:numId w:val="8"/>
        </w:numPr>
        <w:spacing w:after="120"/>
        <w:ind w:left="357" w:hanging="357"/>
        <w:contextualSpacing w:val="0"/>
        <w:rPr>
          <w:lang w:val="en-GB"/>
        </w:rPr>
      </w:pPr>
      <w:r w:rsidRPr="00C873EE">
        <w:rPr>
          <w:lang w:val="en-GB"/>
        </w:rPr>
        <w:t xml:space="preserve">A </w:t>
      </w:r>
      <w:bookmarkStart w:id="28" w:name="_Hlk25219263"/>
      <w:r w:rsidRPr="00C873EE">
        <w:rPr>
          <w:lang w:val="en-GB"/>
        </w:rPr>
        <w:t xml:space="preserve">forecasted market value of CZC </w:t>
      </w:r>
      <w:bookmarkEnd w:id="28"/>
      <w:r w:rsidRPr="00C873EE">
        <w:rPr>
          <w:lang w:val="en-GB"/>
        </w:rPr>
        <w:t xml:space="preserve">used for the exchange of energy is defined for each direction on each </w:t>
      </w:r>
      <w:r w:rsidR="00B36615" w:rsidRPr="00C873EE">
        <w:rPr>
          <w:lang w:val="en-GB"/>
        </w:rPr>
        <w:t xml:space="preserve">bidding zone </w:t>
      </w:r>
      <w:r w:rsidRPr="00C873EE">
        <w:rPr>
          <w:lang w:val="en-GB"/>
        </w:rPr>
        <w:t>border for each MTU, as follows</w:t>
      </w:r>
      <w:r w:rsidR="005C7274" w:rsidRPr="00C873EE">
        <w:rPr>
          <w:lang w:val="en-GB"/>
        </w:rPr>
        <w:t>.</w:t>
      </w:r>
    </w:p>
    <w:p w14:paraId="48EFE4F9" w14:textId="0A4D0BCF" w:rsidR="00FB0A54" w:rsidRPr="00C873EE" w:rsidRDefault="00FB0A54" w:rsidP="007B2B94">
      <w:pPr>
        <w:keepNext/>
        <w:spacing w:after="120"/>
        <w:ind w:left="357"/>
      </w:pPr>
      <w:r w:rsidRPr="00C873EE">
        <w:t xml:space="preserve">For CZC from </w:t>
      </w:r>
      <w:r w:rsidR="002973C4" w:rsidRPr="00C873EE">
        <w:t>bidding z</w:t>
      </w:r>
      <w:r w:rsidRPr="00C873EE">
        <w:t xml:space="preserve">one a to </w:t>
      </w:r>
      <w:r w:rsidR="002973C4" w:rsidRPr="00C873EE">
        <w:t>bidding z</w:t>
      </w:r>
      <w:r w:rsidRPr="00C873EE">
        <w:t>one b:</w:t>
      </w:r>
    </w:p>
    <w:p w14:paraId="35FFDD26" w14:textId="679B454E" w:rsidR="005C7274" w:rsidRPr="00C873EE" w:rsidRDefault="005C7274" w:rsidP="005C7274">
      <w:pPr>
        <w:spacing w:after="120"/>
        <w:ind w:left="708"/>
      </w:pPr>
      <w:r w:rsidRPr="00C873EE">
        <w:t>If p</w:t>
      </w:r>
      <w:r w:rsidRPr="00C873EE">
        <w:rPr>
          <w:vertAlign w:val="subscript"/>
        </w:rPr>
        <w:t>at</w:t>
      </w:r>
      <w:r w:rsidRPr="00C873EE">
        <w:t>&lt;p</w:t>
      </w:r>
      <w:r w:rsidRPr="00C873EE">
        <w:rPr>
          <w:vertAlign w:val="subscript"/>
        </w:rPr>
        <w:t>bt</w:t>
      </w:r>
      <w:r w:rsidRPr="00C873EE">
        <w:t>, then FMV</w:t>
      </w:r>
      <w:r w:rsidRPr="00C873EE">
        <w:rPr>
          <w:vertAlign w:val="subscript"/>
        </w:rPr>
        <w:t>abt</w:t>
      </w:r>
      <w:r w:rsidRPr="00C873EE">
        <w:t xml:space="preserve"> = p</w:t>
      </w:r>
      <w:r w:rsidRPr="00C873EE">
        <w:rPr>
          <w:vertAlign w:val="subscript"/>
        </w:rPr>
        <w:t>bt</w:t>
      </w:r>
      <w:r w:rsidRPr="00C873EE">
        <w:t xml:space="preserve"> – p</w:t>
      </w:r>
      <w:r w:rsidRPr="00C873EE">
        <w:rPr>
          <w:vertAlign w:val="subscript"/>
        </w:rPr>
        <w:t>at</w:t>
      </w:r>
    </w:p>
    <w:p w14:paraId="33D3C37C" w14:textId="4D647A39" w:rsidR="005C7274" w:rsidRPr="00C873EE" w:rsidRDefault="005C7274" w:rsidP="005C7274">
      <w:pPr>
        <w:spacing w:after="120"/>
        <w:ind w:left="708"/>
      </w:pPr>
      <w:r w:rsidRPr="00C873EE">
        <w:t>If p</w:t>
      </w:r>
      <w:r w:rsidRPr="007B2B94">
        <w:rPr>
          <w:vertAlign w:val="subscript"/>
        </w:rPr>
        <w:t>at</w:t>
      </w:r>
      <w:r w:rsidRPr="00C873EE">
        <w:t>≥p</w:t>
      </w:r>
      <w:r w:rsidRPr="007B2B94">
        <w:rPr>
          <w:vertAlign w:val="subscript"/>
        </w:rPr>
        <w:t>bt</w:t>
      </w:r>
      <w:r w:rsidRPr="00C873EE">
        <w:t>, FMV</w:t>
      </w:r>
      <w:r w:rsidRPr="00C873EE">
        <w:rPr>
          <w:vertAlign w:val="subscript"/>
        </w:rPr>
        <w:t>abt</w:t>
      </w:r>
      <w:r w:rsidRPr="00C873EE">
        <w:t xml:space="preserve"> = 0</w:t>
      </w:r>
    </w:p>
    <w:p w14:paraId="5D93687D" w14:textId="77777777" w:rsidR="005C7274" w:rsidRPr="00C873EE" w:rsidRDefault="005C7274">
      <w:pPr>
        <w:keepNext/>
        <w:spacing w:after="120"/>
        <w:ind w:left="708"/>
      </w:pPr>
    </w:p>
    <w:p w14:paraId="79C9A89F" w14:textId="248D58C6" w:rsidR="00FB0A54" w:rsidRPr="00C873EE" w:rsidRDefault="00FB0A54" w:rsidP="007B2B94">
      <w:pPr>
        <w:keepNext/>
        <w:spacing w:after="120"/>
        <w:ind w:left="708"/>
      </w:pPr>
      <w:r w:rsidRPr="00C873EE">
        <w:t>Where:</w:t>
      </w:r>
    </w:p>
    <w:p w14:paraId="6963E4FA" w14:textId="48CAAD56" w:rsidR="00FB0A54" w:rsidRPr="00C873EE" w:rsidRDefault="00FB0A54" w:rsidP="00FB0A54">
      <w:pPr>
        <w:spacing w:after="120"/>
        <w:ind w:left="708"/>
      </w:pPr>
      <w:r w:rsidRPr="00C873EE">
        <w:t>p</w:t>
      </w:r>
      <w:r w:rsidRPr="00C873EE">
        <w:rPr>
          <w:vertAlign w:val="subscript"/>
        </w:rPr>
        <w:t>at</w:t>
      </w:r>
      <w:r w:rsidRPr="00C873EE">
        <w:t xml:space="preserve"> is the </w:t>
      </w:r>
      <w:r w:rsidR="0048174C" w:rsidRPr="00C873EE">
        <w:t xml:space="preserve">day-ahead </w:t>
      </w:r>
      <w:r w:rsidRPr="00C873EE">
        <w:t xml:space="preserve">energy market price for </w:t>
      </w:r>
      <w:r w:rsidR="002973C4" w:rsidRPr="00C873EE">
        <w:t>bidding z</w:t>
      </w:r>
      <w:r w:rsidRPr="00C873EE">
        <w:t>one a and MTU t on the reference day, and</w:t>
      </w:r>
    </w:p>
    <w:p w14:paraId="38544CBF" w14:textId="1FB767CC" w:rsidR="00FB0A54" w:rsidRPr="00C873EE" w:rsidRDefault="00FB0A54" w:rsidP="00FB0A54">
      <w:pPr>
        <w:spacing w:after="120"/>
        <w:ind w:left="708"/>
      </w:pPr>
      <w:r w:rsidRPr="00C873EE">
        <w:t>FMV</w:t>
      </w:r>
      <w:r w:rsidRPr="00C873EE">
        <w:rPr>
          <w:vertAlign w:val="subscript"/>
        </w:rPr>
        <w:t>abt</w:t>
      </w:r>
      <w:r w:rsidRPr="00C873EE">
        <w:t xml:space="preserve"> is the </w:t>
      </w:r>
      <w:bookmarkStart w:id="29" w:name="_Hlk25158023"/>
      <w:r w:rsidRPr="00C873EE">
        <w:t xml:space="preserve">forecasted market value of CZC used for the exchange of energy from </w:t>
      </w:r>
      <w:r w:rsidR="002973C4" w:rsidRPr="00C873EE">
        <w:t>bidding z</w:t>
      </w:r>
      <w:r w:rsidRPr="00C873EE">
        <w:t xml:space="preserve">one a to </w:t>
      </w:r>
      <w:r w:rsidR="002973C4" w:rsidRPr="00C873EE">
        <w:t>bidding z</w:t>
      </w:r>
      <w:r w:rsidRPr="00C873EE">
        <w:t>one b</w:t>
      </w:r>
      <w:bookmarkEnd w:id="29"/>
      <w:r w:rsidRPr="00C873EE">
        <w:t xml:space="preserve"> for MTU t.</w:t>
      </w:r>
    </w:p>
    <w:p w14:paraId="343C9762" w14:textId="77777777" w:rsidR="00FB0A54" w:rsidRPr="00C873EE" w:rsidRDefault="00FB0A54" w:rsidP="00FB0A54">
      <w:pPr>
        <w:pStyle w:val="ListParagraph"/>
        <w:numPr>
          <w:ilvl w:val="0"/>
          <w:numId w:val="8"/>
        </w:numPr>
        <w:spacing w:after="120"/>
        <w:contextualSpacing w:val="0"/>
        <w:rPr>
          <w:lang w:val="en-GB"/>
        </w:rPr>
      </w:pPr>
      <w:r w:rsidRPr="00C873EE">
        <w:rPr>
          <w:lang w:val="en-GB"/>
        </w:rPr>
        <w:t>The reference day shall be the most recent day for which the clearing prices for each day-ahead market timeframe are available for each bidding zone.</w:t>
      </w:r>
    </w:p>
    <w:p w14:paraId="318B280B" w14:textId="4732736E" w:rsidR="00C64F44" w:rsidRPr="00C873EE" w:rsidRDefault="00FB0A54" w:rsidP="00C64F44">
      <w:pPr>
        <w:pStyle w:val="ListParagraph"/>
        <w:numPr>
          <w:ilvl w:val="0"/>
          <w:numId w:val="8"/>
        </w:numPr>
        <w:spacing w:before="240" w:after="120"/>
        <w:ind w:left="357" w:hanging="357"/>
        <w:contextualSpacing w:val="0"/>
        <w:rPr>
          <w:lang w:val="en-GB"/>
        </w:rPr>
      </w:pPr>
      <w:r w:rsidRPr="00C873EE">
        <w:rPr>
          <w:lang w:val="en-GB"/>
        </w:rPr>
        <w:t>The TSOs shall monitor the efficiency of the forecasting methodology, including a comparison of the forecasted and actual market values of CZC for the exchange of energy, and take appropriate action to ensure the accuracy of the forecast values.</w:t>
      </w:r>
    </w:p>
    <w:p w14:paraId="428BFD92" w14:textId="77777777" w:rsidR="00C64F44" w:rsidRPr="00C873EE" w:rsidRDefault="00C64F44" w:rsidP="007B2B94">
      <w:pPr>
        <w:spacing w:after="120"/>
        <w:ind w:left="709"/>
      </w:pPr>
    </w:p>
    <w:p w14:paraId="0F8BA023" w14:textId="430E6978" w:rsidR="00C64F44" w:rsidRPr="00C873EE" w:rsidRDefault="00C64F44" w:rsidP="00C64F44">
      <w:pPr>
        <w:pStyle w:val="headline2"/>
      </w:pPr>
      <w:bookmarkStart w:id="30" w:name="_Toc5296540"/>
      <w:bookmarkStart w:id="31" w:name="_Toc27486684"/>
      <w:r w:rsidRPr="00C873EE">
        <w:t>Article 6</w:t>
      </w:r>
      <w:r w:rsidRPr="00C873EE">
        <w:br/>
        <w:t>Determination of the allocated volume of CZC for the exchange of balancing capacity</w:t>
      </w:r>
      <w:bookmarkEnd w:id="30"/>
      <w:bookmarkEnd w:id="31"/>
    </w:p>
    <w:p w14:paraId="7A8B06E0" w14:textId="77777777" w:rsidR="00C64F44" w:rsidRPr="00C873EE" w:rsidRDefault="00C64F44" w:rsidP="00C64F44">
      <w:pPr>
        <w:pStyle w:val="ListParagraph"/>
        <w:numPr>
          <w:ilvl w:val="0"/>
          <w:numId w:val="10"/>
        </w:numPr>
        <w:spacing w:after="120"/>
        <w:ind w:left="357" w:hanging="357"/>
        <w:contextualSpacing w:val="0"/>
        <w:rPr>
          <w:lang w:val="en-GB"/>
        </w:rPr>
      </w:pPr>
      <w:r w:rsidRPr="00C873EE">
        <w:rPr>
          <w:lang w:val="en-GB"/>
        </w:rPr>
        <w:t>The balancing capacity market procurement optimisation function shall allocate CZC for the exchange of balancing capacity simultaneously with the selection of balancing capacity bids.</w:t>
      </w:r>
    </w:p>
    <w:p w14:paraId="397D6FD0" w14:textId="43EE8CD3" w:rsidR="00C64F44" w:rsidRPr="00C873EE" w:rsidRDefault="00C64F44" w:rsidP="007B2B94">
      <w:pPr>
        <w:pStyle w:val="ListParagraph"/>
        <w:numPr>
          <w:ilvl w:val="0"/>
          <w:numId w:val="10"/>
        </w:numPr>
        <w:spacing w:after="120"/>
        <w:ind w:left="357" w:hanging="357"/>
        <w:contextualSpacing w:val="0"/>
        <w:rPr>
          <w:lang w:val="en-GB"/>
        </w:rPr>
      </w:pPr>
      <w:r w:rsidRPr="00C873EE">
        <w:rPr>
          <w:lang w:val="en-GB"/>
        </w:rPr>
        <w:t xml:space="preserve">The objective of the balancing capacity market procurement optimisation function </w:t>
      </w:r>
      <w:r w:rsidR="00BB2B78" w:rsidRPr="00C873EE">
        <w:rPr>
          <w:lang w:val="en-GB"/>
        </w:rPr>
        <w:t xml:space="preserve">is </w:t>
      </w:r>
      <w:r w:rsidR="002806A0" w:rsidRPr="00C873EE">
        <w:rPr>
          <w:lang w:val="en-GB"/>
        </w:rPr>
        <w:t>to</w:t>
      </w:r>
      <w:r w:rsidR="00032582" w:rsidRPr="00C873EE">
        <w:rPr>
          <w:lang w:val="en-GB"/>
        </w:rPr>
        <w:t xml:space="preserve"> </w:t>
      </w:r>
      <w:r w:rsidRPr="007B2B94">
        <w:rPr>
          <w:lang w:val="en-GB"/>
        </w:rPr>
        <w:t xml:space="preserve">make sure that CZC is allocated to </w:t>
      </w:r>
      <w:r w:rsidR="002806A0" w:rsidRPr="007B2B94">
        <w:rPr>
          <w:lang w:val="en-GB"/>
        </w:rPr>
        <w:t xml:space="preserve">a </w:t>
      </w:r>
      <w:r w:rsidRPr="007B2B94">
        <w:rPr>
          <w:lang w:val="en-GB"/>
        </w:rPr>
        <w:t xml:space="preserve">market, i.e. </w:t>
      </w:r>
      <w:r w:rsidR="002806A0" w:rsidRPr="007B2B94">
        <w:rPr>
          <w:lang w:val="en-GB"/>
        </w:rPr>
        <w:t xml:space="preserve">the </w:t>
      </w:r>
      <w:r w:rsidRPr="007B2B94">
        <w:rPr>
          <w:lang w:val="en-GB"/>
        </w:rPr>
        <w:t xml:space="preserve">day-ahead or balancing market, </w:t>
      </w:r>
      <w:r w:rsidR="002806A0" w:rsidRPr="007B2B94">
        <w:rPr>
          <w:lang w:val="en-GB"/>
        </w:rPr>
        <w:t xml:space="preserve">so as to </w:t>
      </w:r>
      <w:r w:rsidR="004103DA" w:rsidRPr="007B2B94">
        <w:rPr>
          <w:lang w:val="en-GB"/>
        </w:rPr>
        <w:t>minimise the</w:t>
      </w:r>
      <w:r w:rsidRPr="007B2B94">
        <w:rPr>
          <w:lang w:val="en-GB"/>
        </w:rPr>
        <w:t xml:space="preserve"> socioeconomic </w:t>
      </w:r>
      <w:r w:rsidR="004103DA" w:rsidRPr="007B2B94">
        <w:rPr>
          <w:lang w:val="en-GB"/>
        </w:rPr>
        <w:t>costs of procurement</w:t>
      </w:r>
      <w:r w:rsidR="00032582" w:rsidRPr="007B2B94">
        <w:rPr>
          <w:lang w:val="en-GB"/>
        </w:rPr>
        <w:t>.</w:t>
      </w:r>
    </w:p>
    <w:p w14:paraId="1C3740E0" w14:textId="6FBB6A4B" w:rsidR="00C64F44" w:rsidRPr="00C873EE" w:rsidRDefault="00C64F44" w:rsidP="00C64F44">
      <w:pPr>
        <w:pStyle w:val="textregular"/>
        <w:numPr>
          <w:ilvl w:val="0"/>
          <w:numId w:val="16"/>
        </w:numPr>
        <w:spacing w:line="259" w:lineRule="auto"/>
        <w:jc w:val="both"/>
      </w:pPr>
      <w:r w:rsidRPr="00C873EE">
        <w:t xml:space="preserve">In the capacity procurement optimisation process, bid selection together with the CZC allocation are optimised to </w:t>
      </w:r>
      <w:r w:rsidR="004103DA" w:rsidRPr="00C873EE">
        <w:t>minimise the socioeconomic costs of procurement</w:t>
      </w:r>
      <w:r w:rsidRPr="00C873EE">
        <w:t xml:space="preserve"> given the constraints defined in </w:t>
      </w:r>
      <w:r w:rsidR="009B4D82" w:rsidRPr="00C873EE">
        <w:t xml:space="preserve">Article 12 of the TSO's proposal for the establishment of common and harmonised rules and processes for the exchange and procurement of balancing capacity and for the application of </w:t>
      </w:r>
      <w:r w:rsidR="0085684D" w:rsidRPr="00C873EE">
        <w:t xml:space="preserve">a </w:t>
      </w:r>
      <w:r w:rsidR="009B4D82" w:rsidRPr="00C873EE">
        <w:t>market-based allocation process in accordance with Article 33(1) and Article 38(1) of the EB Regulation</w:t>
      </w:r>
      <w:r w:rsidRPr="00C873EE">
        <w:t xml:space="preserve">. The </w:t>
      </w:r>
      <w:r w:rsidR="004103DA" w:rsidRPr="00C873EE">
        <w:t xml:space="preserve">socioeconomic costs of procurement </w:t>
      </w:r>
      <w:r w:rsidRPr="00C873EE">
        <w:t xml:space="preserve">include the cost of </w:t>
      </w:r>
      <w:r w:rsidR="004103DA" w:rsidRPr="00C873EE">
        <w:t xml:space="preserve">accepted </w:t>
      </w:r>
      <w:r w:rsidRPr="00C873EE">
        <w:t xml:space="preserve">balancing capacity bids and </w:t>
      </w:r>
      <w:r w:rsidR="00B65A62" w:rsidRPr="00C873EE">
        <w:t xml:space="preserve">the </w:t>
      </w:r>
      <w:r w:rsidRPr="00C873EE">
        <w:t xml:space="preserve">cost of </w:t>
      </w:r>
      <w:r w:rsidR="00BB2B78" w:rsidRPr="00C873EE">
        <w:t xml:space="preserve">reserving </w:t>
      </w:r>
      <w:r w:rsidRPr="00C873EE">
        <w:t xml:space="preserve">CZC </w:t>
      </w:r>
      <w:r w:rsidR="00BB2B78" w:rsidRPr="00C873EE">
        <w:t xml:space="preserve">for </w:t>
      </w:r>
      <w:r w:rsidR="00B65A62" w:rsidRPr="00C873EE">
        <w:t xml:space="preserve">the </w:t>
      </w:r>
      <w:r w:rsidRPr="00C873EE">
        <w:t>exchange of balancing capacity.</w:t>
      </w:r>
    </w:p>
    <w:p w14:paraId="0EC0A1B4" w14:textId="38F53570" w:rsidR="00C64F44" w:rsidRPr="00C873EE" w:rsidRDefault="00C64F44" w:rsidP="00C64F44">
      <w:pPr>
        <w:pStyle w:val="ListParagraph"/>
        <w:numPr>
          <w:ilvl w:val="0"/>
          <w:numId w:val="16"/>
        </w:numPr>
        <w:spacing w:after="120"/>
        <w:contextualSpacing w:val="0"/>
        <w:rPr>
          <w:lang w:val="en-GB"/>
        </w:rPr>
      </w:pPr>
      <w:r w:rsidRPr="00C873EE">
        <w:rPr>
          <w:lang w:val="en-GB"/>
        </w:rPr>
        <w:t xml:space="preserve">A mark-up will be added to the forecasted market value of CZC calculated in accordance with Article 5(3), in order to take into account the uncertainty of the forecasted market value of CZC. </w:t>
      </w:r>
      <w:r w:rsidR="0085684D" w:rsidRPr="00C873EE">
        <w:rPr>
          <w:lang w:val="en-GB"/>
        </w:rPr>
        <w:t>These mark</w:t>
      </w:r>
      <w:r w:rsidRPr="00C873EE">
        <w:rPr>
          <w:lang w:val="en-GB"/>
        </w:rPr>
        <w:t>-ups are defined as follows:</w:t>
      </w:r>
      <w:bookmarkStart w:id="32" w:name="_Toc3380883"/>
    </w:p>
    <w:p w14:paraId="0F081F14" w14:textId="320FED32" w:rsidR="00C64F44" w:rsidRPr="00C873EE" w:rsidRDefault="00C64F44" w:rsidP="00C64F44">
      <w:pPr>
        <w:pStyle w:val="ListParagraph"/>
        <w:numPr>
          <w:ilvl w:val="1"/>
          <w:numId w:val="16"/>
        </w:numPr>
        <w:ind w:left="1077" w:hanging="357"/>
        <w:rPr>
          <w:lang w:val="en-GB"/>
        </w:rPr>
      </w:pPr>
      <w:r w:rsidRPr="00C873EE">
        <w:rPr>
          <w:lang w:val="en-GB"/>
        </w:rPr>
        <w:t>if there is no forecasted price difference between two bidding zones when calculating the forecasted market value of CZC in accordance with Article 5(3), the added mark-up on the forecasted market value of CZC will be 0.1 EUR/MWh; and</w:t>
      </w:r>
    </w:p>
    <w:p w14:paraId="459D0DF1" w14:textId="77777777" w:rsidR="00C64F44" w:rsidRPr="00C873EE" w:rsidRDefault="00C64F44" w:rsidP="00C64F44">
      <w:pPr>
        <w:pStyle w:val="ListParagraph"/>
        <w:numPr>
          <w:ilvl w:val="1"/>
          <w:numId w:val="16"/>
        </w:numPr>
        <w:ind w:left="1077" w:hanging="357"/>
        <w:rPr>
          <w:lang w:val="en-GB"/>
        </w:rPr>
      </w:pPr>
      <w:r w:rsidRPr="00C873EE">
        <w:rPr>
          <w:lang w:val="en-GB"/>
        </w:rPr>
        <w:t>if there is a forecasted price difference between two bidding zones when calculating the forecasted market value of CZC in accordance with Article 5(3), the added mark-up on the forecasted market value of CZC will be 1 EUR/MWh.</w:t>
      </w:r>
    </w:p>
    <w:p w14:paraId="149590B6" w14:textId="557D38C4" w:rsidR="0085684D" w:rsidRPr="00C873EE" w:rsidRDefault="00877925" w:rsidP="0085684D">
      <w:pPr>
        <w:pStyle w:val="ListParagraph"/>
        <w:numPr>
          <w:ilvl w:val="0"/>
          <w:numId w:val="16"/>
        </w:numPr>
        <w:spacing w:before="240" w:after="120"/>
        <w:ind w:left="357" w:hanging="357"/>
        <w:contextualSpacing w:val="0"/>
        <w:rPr>
          <w:lang w:val="en-GB"/>
        </w:rPr>
      </w:pPr>
      <w:r w:rsidRPr="00C873EE">
        <w:rPr>
          <w:lang w:val="en-GB"/>
        </w:rPr>
        <w:t>The m</w:t>
      </w:r>
      <w:r w:rsidR="00C64F44" w:rsidRPr="00C873EE">
        <w:rPr>
          <w:lang w:val="en-GB"/>
        </w:rPr>
        <w:t xml:space="preserve">ark-up shall be added to the forecasted market value of CZC to be applied in the capacity procurement optimisation function. </w:t>
      </w:r>
    </w:p>
    <w:p w14:paraId="4C29E6E9" w14:textId="77777777" w:rsidR="0085684D" w:rsidRPr="00C873EE" w:rsidRDefault="0085684D" w:rsidP="007B2B94">
      <w:pPr>
        <w:spacing w:after="120"/>
        <w:ind w:left="709"/>
      </w:pPr>
    </w:p>
    <w:p w14:paraId="324D68D6" w14:textId="17344D10" w:rsidR="00C64F44" w:rsidRPr="00C873EE" w:rsidRDefault="00C64F44" w:rsidP="007B2B94">
      <w:pPr>
        <w:pStyle w:val="headline2"/>
        <w:keepNext/>
      </w:pPr>
      <w:bookmarkStart w:id="33" w:name="_Toc5296542"/>
      <w:bookmarkStart w:id="34" w:name="_Toc27486685"/>
      <w:bookmarkEnd w:id="32"/>
      <w:r w:rsidRPr="00C873EE">
        <w:t xml:space="preserve">Article </w:t>
      </w:r>
      <w:r w:rsidR="009B4D82" w:rsidRPr="00C873EE">
        <w:t>7</w:t>
      </w:r>
      <w:r w:rsidRPr="00C873EE">
        <w:br/>
        <w:t>Firmness regime</w:t>
      </w:r>
      <w:bookmarkEnd w:id="33"/>
      <w:bookmarkEnd w:id="34"/>
    </w:p>
    <w:p w14:paraId="5EBB996E" w14:textId="4C7D185B" w:rsidR="00C64F44" w:rsidRPr="00C873EE" w:rsidRDefault="00C64F44" w:rsidP="00C64F44">
      <w:pPr>
        <w:pStyle w:val="textregular"/>
        <w:numPr>
          <w:ilvl w:val="0"/>
          <w:numId w:val="22"/>
        </w:numPr>
        <w:ind w:left="357" w:hanging="357"/>
        <w:jc w:val="both"/>
      </w:pPr>
      <w:r w:rsidRPr="00C873EE">
        <w:t>Allocated CZC for the exchange of balancing capacity shall be firm after the selection of upward balancing capacity bids or downward balancing capacity bids by the capacity procurement optimisation function in accordance with Article 33(3) of the EB Regulation.</w:t>
      </w:r>
    </w:p>
    <w:p w14:paraId="52C5D6CD" w14:textId="761C4814" w:rsidR="00E74A74" w:rsidRPr="00C873EE" w:rsidRDefault="00C64F44" w:rsidP="00C64F44">
      <w:pPr>
        <w:pStyle w:val="textregular"/>
        <w:numPr>
          <w:ilvl w:val="0"/>
          <w:numId w:val="22"/>
        </w:numPr>
        <w:ind w:left="357" w:hanging="357"/>
        <w:jc w:val="both"/>
      </w:pPr>
      <w:r w:rsidRPr="00C873EE">
        <w:t>CZC for allocation shall be firm as soon as submitted to the balancing capacity procurement optimisation function.</w:t>
      </w:r>
    </w:p>
    <w:p w14:paraId="31EB6336" w14:textId="210BC79F" w:rsidR="00E74A74" w:rsidRPr="00C873EE" w:rsidRDefault="00E74A74" w:rsidP="007B2B94">
      <w:pPr>
        <w:pStyle w:val="textregular"/>
        <w:numPr>
          <w:ilvl w:val="0"/>
          <w:numId w:val="22"/>
        </w:numPr>
        <w:ind w:left="357" w:hanging="357"/>
        <w:jc w:val="both"/>
      </w:pPr>
      <w:r w:rsidRPr="00C873EE">
        <w:t xml:space="preserve">If allocated </w:t>
      </w:r>
      <w:r w:rsidRPr="007B2B94">
        <w:rPr>
          <w:bCs/>
        </w:rPr>
        <w:t>CZC</w:t>
      </w:r>
      <w:r w:rsidRPr="00C873EE">
        <w:rPr>
          <w:b/>
          <w:bCs/>
        </w:rPr>
        <w:t xml:space="preserve"> </w:t>
      </w:r>
      <w:r w:rsidRPr="00C873EE">
        <w:t xml:space="preserve">capacity is curtailed because of </w:t>
      </w:r>
      <w:r w:rsidRPr="007B2B94">
        <w:rPr>
          <w:bCs/>
        </w:rPr>
        <w:t>a</w:t>
      </w:r>
      <w:r w:rsidRPr="00C873EE">
        <w:rPr>
          <w:b/>
          <w:bCs/>
        </w:rPr>
        <w:t xml:space="preserve"> </w:t>
      </w:r>
      <w:r w:rsidRPr="00C873EE">
        <w:t xml:space="preserve">force majeure </w:t>
      </w:r>
      <w:r w:rsidRPr="007B2B94">
        <w:rPr>
          <w:bCs/>
        </w:rPr>
        <w:t>situation</w:t>
      </w:r>
      <w:r w:rsidRPr="00C873EE">
        <w:t xml:space="preserve">, an emergency situation or an unplanned outage invoked by one or more TSOs, the </w:t>
      </w:r>
      <w:r w:rsidRPr="007B2B94">
        <w:rPr>
          <w:bCs/>
          <w:iCs/>
        </w:rPr>
        <w:t xml:space="preserve">TSO </w:t>
      </w:r>
      <w:r w:rsidRPr="007B2B94">
        <w:rPr>
          <w:bCs/>
        </w:rPr>
        <w:t>or</w:t>
      </w:r>
      <w:r w:rsidRPr="00C873EE">
        <w:t xml:space="preserve"> TSOs </w:t>
      </w:r>
      <w:r w:rsidRPr="007B2B94">
        <w:rPr>
          <w:bCs/>
        </w:rPr>
        <w:t xml:space="preserve">within whose area of responsibility the situation has occurred or which has or have invoked </w:t>
      </w:r>
      <w:r w:rsidR="00D377D9" w:rsidRPr="00C873EE">
        <w:rPr>
          <w:bCs/>
        </w:rPr>
        <w:t xml:space="preserve">a force majeure situation or an emergency situation </w:t>
      </w:r>
      <w:r w:rsidRPr="00C873EE">
        <w:t>shall reimburse or provide compensation for the period of force majeure, emergency situation or unplanned outage, in accordance with the following requirements:</w:t>
      </w:r>
    </w:p>
    <w:p w14:paraId="14D0EA9B" w14:textId="33815E64" w:rsidR="00E74A74" w:rsidRPr="00C873EE" w:rsidRDefault="00E74A74" w:rsidP="007B2B94">
      <w:pPr>
        <w:pStyle w:val="ListParagraph"/>
        <w:numPr>
          <w:ilvl w:val="0"/>
          <w:numId w:val="23"/>
        </w:numPr>
        <w:rPr>
          <w:lang w:val="en-GB"/>
        </w:rPr>
      </w:pPr>
      <w:r w:rsidRPr="00C873EE">
        <w:rPr>
          <w:lang w:val="en-GB"/>
        </w:rPr>
        <w:t xml:space="preserve">BSPs with accepted </w:t>
      </w:r>
      <w:r w:rsidR="00463B67" w:rsidRPr="00C873EE">
        <w:rPr>
          <w:lang w:val="en-GB"/>
        </w:rPr>
        <w:t>balancing</w:t>
      </w:r>
      <w:r w:rsidRPr="00C873EE">
        <w:rPr>
          <w:lang w:val="en-GB"/>
        </w:rPr>
        <w:t xml:space="preserve"> </w:t>
      </w:r>
      <w:r w:rsidR="00463B67" w:rsidRPr="00C873EE">
        <w:rPr>
          <w:lang w:val="en-GB"/>
        </w:rPr>
        <w:t xml:space="preserve">capacity </w:t>
      </w:r>
      <w:r w:rsidRPr="00C873EE">
        <w:rPr>
          <w:lang w:val="en-GB"/>
        </w:rPr>
        <w:t>bids will not be subject to financial damage or financial benefit arising from an inability to supply</w:t>
      </w:r>
      <w:r w:rsidR="00463B67" w:rsidRPr="00C873EE">
        <w:rPr>
          <w:lang w:val="en-GB"/>
        </w:rPr>
        <w:t xml:space="preserve"> balancing</w:t>
      </w:r>
      <w:r w:rsidRPr="00C873EE">
        <w:rPr>
          <w:lang w:val="en-GB"/>
        </w:rPr>
        <w:t xml:space="preserve"> </w:t>
      </w:r>
      <w:r w:rsidR="00751EDE" w:rsidRPr="00C873EE">
        <w:rPr>
          <w:lang w:val="en-GB"/>
        </w:rPr>
        <w:t xml:space="preserve">capacity </w:t>
      </w:r>
      <w:r w:rsidRPr="00C873EE">
        <w:rPr>
          <w:lang w:val="en-GB"/>
        </w:rPr>
        <w:t>as a result of the CZC capacity curtailment</w:t>
      </w:r>
      <w:r w:rsidR="00751EDE" w:rsidRPr="00C873EE">
        <w:rPr>
          <w:lang w:val="en-GB"/>
        </w:rPr>
        <w:t>. This compensation will not reflect any changes in payments for the activation of balancing energy.</w:t>
      </w:r>
    </w:p>
    <w:p w14:paraId="610F08B7" w14:textId="4B0E1C57" w:rsidR="00E74A74" w:rsidRPr="007B2B94" w:rsidRDefault="00E74A74" w:rsidP="007B2B94">
      <w:pPr>
        <w:pStyle w:val="ListParagraph"/>
        <w:numPr>
          <w:ilvl w:val="0"/>
          <w:numId w:val="23"/>
        </w:numPr>
        <w:rPr>
          <w:lang w:val="en-GB"/>
        </w:rPr>
      </w:pPr>
      <w:r w:rsidRPr="00C873EE">
        <w:rPr>
          <w:lang w:val="en-GB"/>
        </w:rPr>
        <w:t xml:space="preserve">Other TSOs that are required to procure additional balancing </w:t>
      </w:r>
      <w:r w:rsidR="00751EDE" w:rsidRPr="00C873EE">
        <w:rPr>
          <w:lang w:val="en-GB"/>
        </w:rPr>
        <w:t>capacity</w:t>
      </w:r>
      <w:r w:rsidRPr="00C873EE">
        <w:rPr>
          <w:lang w:val="en-GB"/>
        </w:rPr>
        <w:t xml:space="preserve"> in order to compensate for the curtailment of </w:t>
      </w:r>
      <w:r w:rsidR="00751EDE" w:rsidRPr="00C873EE">
        <w:rPr>
          <w:lang w:val="en-GB"/>
        </w:rPr>
        <w:t>CZC</w:t>
      </w:r>
      <w:r w:rsidRPr="00C873EE">
        <w:rPr>
          <w:lang w:val="en-GB"/>
        </w:rPr>
        <w:t xml:space="preserve"> will be entitled to the reimbursement of these additional costs </w:t>
      </w:r>
      <w:r w:rsidRPr="007B2B94">
        <w:rPr>
          <w:bCs/>
          <w:lang w:val="en-GB"/>
        </w:rPr>
        <w:t>unless this is not</w:t>
      </w:r>
      <w:r w:rsidRPr="00C873EE">
        <w:rPr>
          <w:lang w:val="en-GB"/>
        </w:rPr>
        <w:t xml:space="preserve"> acceptable to </w:t>
      </w:r>
      <w:r w:rsidR="00463B67" w:rsidRPr="00C873EE">
        <w:rPr>
          <w:lang w:val="en-GB"/>
        </w:rPr>
        <w:t>all</w:t>
      </w:r>
      <w:r w:rsidRPr="00C873EE">
        <w:rPr>
          <w:lang w:val="en-GB"/>
        </w:rPr>
        <w:t xml:space="preserve"> </w:t>
      </w:r>
      <w:r w:rsidR="00463B67" w:rsidRPr="00C873EE">
        <w:rPr>
          <w:lang w:val="en-GB"/>
        </w:rPr>
        <w:t>regulatory authorities</w:t>
      </w:r>
      <w:r w:rsidRPr="00C873EE">
        <w:rPr>
          <w:lang w:val="en-GB"/>
        </w:rPr>
        <w:t xml:space="preserve"> of all compensated and compensating TSOs.</w:t>
      </w:r>
    </w:p>
    <w:p w14:paraId="4E31A9FC" w14:textId="08C370E8" w:rsidR="00E74A74" w:rsidRPr="007B2B94" w:rsidRDefault="00E74A74" w:rsidP="007B2B94">
      <w:pPr>
        <w:pStyle w:val="textregular"/>
        <w:ind w:left="357"/>
        <w:jc w:val="both"/>
      </w:pPr>
      <w:r w:rsidRPr="00C873EE">
        <w:rPr>
          <w:bCs/>
        </w:rPr>
        <w:t>In the event that reimbursement or compensation is to be provided by two or more TSOs, the TSOs shall share these costs jointly, unless another agreement is reached.</w:t>
      </w:r>
    </w:p>
    <w:p w14:paraId="54E9CEBE" w14:textId="59D1A53A" w:rsidR="00C64F44" w:rsidRPr="00C873EE" w:rsidRDefault="00C64F44" w:rsidP="00C64F44">
      <w:pPr>
        <w:pStyle w:val="textregular"/>
        <w:numPr>
          <w:ilvl w:val="0"/>
          <w:numId w:val="22"/>
        </w:numPr>
        <w:ind w:left="357" w:hanging="357"/>
        <w:jc w:val="both"/>
      </w:pPr>
      <w:r w:rsidRPr="00C873EE">
        <w:t>TSOs shall not increase the reliability margin calculated pursuant to Article </w:t>
      </w:r>
      <w:r w:rsidR="00524E8F" w:rsidRPr="00C873EE">
        <w:t>2</w:t>
      </w:r>
      <w:r w:rsidR="00E74A74" w:rsidRPr="00C873EE">
        <w:t>0 (2)</w:t>
      </w:r>
      <w:r w:rsidR="00524E8F" w:rsidRPr="00C873EE">
        <w:t xml:space="preserve"> </w:t>
      </w:r>
      <w:r w:rsidRPr="00C873EE">
        <w:t xml:space="preserve">of the CACM Regulation due to the exchange of balancing capacity for frequency restoration reserves. </w:t>
      </w:r>
    </w:p>
    <w:p w14:paraId="28AD4291" w14:textId="77777777" w:rsidR="00C64F44" w:rsidRPr="00C873EE" w:rsidRDefault="00C64F44" w:rsidP="00C64F44">
      <w:pPr>
        <w:pStyle w:val="ListParagraph"/>
        <w:rPr>
          <w:lang w:val="en-GB"/>
        </w:rPr>
      </w:pPr>
    </w:p>
    <w:p w14:paraId="19DF6B9A" w14:textId="0E6E4E5A" w:rsidR="00C64F44" w:rsidRPr="00C873EE" w:rsidRDefault="00C64F44" w:rsidP="00C64F44">
      <w:pPr>
        <w:pStyle w:val="headline2"/>
      </w:pPr>
      <w:bookmarkStart w:id="35" w:name="_Toc5296543"/>
      <w:bookmarkStart w:id="36" w:name="_Toc27486686"/>
      <w:r w:rsidRPr="00C873EE">
        <w:t xml:space="preserve">Article </w:t>
      </w:r>
      <w:r w:rsidR="009B4D82" w:rsidRPr="00C873EE">
        <w:t>8</w:t>
      </w:r>
      <w:r w:rsidRPr="00C873EE">
        <w:br/>
      </w:r>
      <w:r w:rsidR="006D19EC" w:rsidRPr="00C873EE">
        <w:t>The price of CZC and the s</w:t>
      </w:r>
      <w:r w:rsidRPr="00C873EE">
        <w:t>haring of congestion income</w:t>
      </w:r>
      <w:bookmarkEnd w:id="35"/>
      <w:bookmarkEnd w:id="36"/>
    </w:p>
    <w:p w14:paraId="7BC0BE30" w14:textId="492DE1A5" w:rsidR="00490FA9" w:rsidRPr="00C873EE" w:rsidRDefault="00212C9B" w:rsidP="00C64F44">
      <w:pPr>
        <w:pStyle w:val="textregular"/>
        <w:numPr>
          <w:ilvl w:val="0"/>
          <w:numId w:val="19"/>
        </w:numPr>
        <w:spacing w:line="259" w:lineRule="auto"/>
        <w:ind w:left="357" w:hanging="357"/>
        <w:jc w:val="both"/>
      </w:pPr>
      <w:r w:rsidRPr="00C873EE">
        <w:t xml:space="preserve">The </w:t>
      </w:r>
      <w:r w:rsidR="00B15551" w:rsidRPr="00C873EE">
        <w:t xml:space="preserve">price of CZC for the exchange of balancing capacity and the </w:t>
      </w:r>
      <w:r w:rsidRPr="00C873EE">
        <w:t xml:space="preserve">sharing of congestion income associated with the use of CZC for the exchange of balancing capacity is entailed within the pricing and TSO-TSO settlement arrangements described in Articles 9 and 13 of the TSO's proposal for the establishment of common and harmonised rules and processes for the exchange and procurement of balancing capacity and for the application of </w:t>
      </w:r>
      <w:r w:rsidR="0085684D" w:rsidRPr="00C873EE">
        <w:t xml:space="preserve">a </w:t>
      </w:r>
      <w:r w:rsidRPr="00C873EE">
        <w:t>market-based allocation process in accordance with Article 33(1) and Article 38(1) of the EB Regulation.</w:t>
      </w:r>
    </w:p>
    <w:p w14:paraId="408804D0" w14:textId="2AFCE93C" w:rsidR="00B15551" w:rsidRPr="00C873EE" w:rsidRDefault="00212C9B" w:rsidP="00C64F44">
      <w:pPr>
        <w:pStyle w:val="textregular"/>
        <w:numPr>
          <w:ilvl w:val="0"/>
          <w:numId w:val="19"/>
        </w:numPr>
        <w:spacing w:line="259" w:lineRule="auto"/>
        <w:ind w:left="357" w:hanging="357"/>
        <w:jc w:val="both"/>
      </w:pPr>
      <w:r w:rsidRPr="00C873EE">
        <w:t xml:space="preserve">The implication of these arrangements is that </w:t>
      </w:r>
      <w:r w:rsidR="00B15551" w:rsidRPr="00C873EE">
        <w:t xml:space="preserve">the price of CZC for the exchange of balancing capacity is based on the nature of the exchange of balancing capacity enabled by the reservation of </w:t>
      </w:r>
      <w:r w:rsidR="00D51553" w:rsidRPr="00C873EE">
        <w:t xml:space="preserve">this </w:t>
      </w:r>
      <w:r w:rsidR="00B15551" w:rsidRPr="00C873EE">
        <w:t xml:space="preserve">CZC. Where the reservation of CZC enables the exchange of balancing capacity between </w:t>
      </w:r>
      <w:r w:rsidR="00463B67" w:rsidRPr="00C873EE">
        <w:t xml:space="preserve">bidding </w:t>
      </w:r>
      <w:r w:rsidR="00B15551" w:rsidRPr="00C873EE">
        <w:t>zones, the price of this CZC is equal to the difference in the balancing capacity market clearing price between the connected bidding zones for the balancing capacity product exchanged.</w:t>
      </w:r>
    </w:p>
    <w:p w14:paraId="26AE4DBF" w14:textId="7BC2BD3C" w:rsidR="00212C9B" w:rsidRPr="00C873EE" w:rsidRDefault="00654EF7">
      <w:pPr>
        <w:pStyle w:val="textregular"/>
        <w:numPr>
          <w:ilvl w:val="0"/>
          <w:numId w:val="19"/>
        </w:numPr>
        <w:spacing w:line="259" w:lineRule="auto"/>
        <w:ind w:left="357" w:hanging="357"/>
        <w:jc w:val="both"/>
      </w:pPr>
      <w:r w:rsidRPr="00C873EE">
        <w:t>The pricing and TSO-TSO settlement arrangements described above also imply that t</w:t>
      </w:r>
      <w:r w:rsidR="00B15551" w:rsidRPr="00C873EE">
        <w:t xml:space="preserve">he </w:t>
      </w:r>
      <w:r w:rsidR="00212C9B" w:rsidRPr="00C873EE">
        <w:t>congestion income arising from the use of CZC for the exchange of balancing capacity is equal to</w:t>
      </w:r>
      <w:r w:rsidR="0085684D" w:rsidRPr="00C873EE">
        <w:t xml:space="preserve"> the</w:t>
      </w:r>
      <w:r w:rsidR="00212C9B" w:rsidRPr="00C873EE">
        <w:t xml:space="preserve"> volume of CZC reserved for </w:t>
      </w:r>
      <w:r w:rsidR="005F7347" w:rsidRPr="00C873EE">
        <w:t xml:space="preserve">the </w:t>
      </w:r>
      <w:r w:rsidR="00212C9B" w:rsidRPr="00C873EE">
        <w:t xml:space="preserve">exchange of balancing capacity multiplied by the difference in the </w:t>
      </w:r>
      <w:r w:rsidR="00B15551" w:rsidRPr="00C873EE">
        <w:t>balancing</w:t>
      </w:r>
      <w:r w:rsidR="00212C9B" w:rsidRPr="00C873EE">
        <w:t xml:space="preserve"> capacity market clearing price in the connected bidding zones.</w:t>
      </w:r>
      <w:r w:rsidR="000374B3" w:rsidRPr="00C873EE">
        <w:t xml:space="preserve"> </w:t>
      </w:r>
      <w:r w:rsidR="00212C9B" w:rsidRPr="00C873EE">
        <w:t>These arrangements also imply that the relevant congestion income is shared equal</w:t>
      </w:r>
      <w:r w:rsidR="0024557D" w:rsidRPr="00C873EE">
        <w:t>ly</w:t>
      </w:r>
      <w:r w:rsidR="00212C9B" w:rsidRPr="00C873EE">
        <w:t xml:space="preserve"> </w:t>
      </w:r>
      <w:r w:rsidR="005F7347" w:rsidRPr="00C873EE">
        <w:t>among the TSOs on the relevant border.</w:t>
      </w:r>
    </w:p>
    <w:p w14:paraId="24C425B1" w14:textId="77777777" w:rsidR="00C64F44" w:rsidRPr="00C873EE" w:rsidRDefault="00C64F44" w:rsidP="00C64F44">
      <w:bookmarkStart w:id="37" w:name="_Toc422337372"/>
      <w:bookmarkStart w:id="38" w:name="_Toc422742328"/>
      <w:bookmarkStart w:id="39" w:name="_Toc422749331"/>
      <w:bookmarkStart w:id="40" w:name="_Toc426468206"/>
      <w:bookmarkStart w:id="41" w:name="_Toc432586785"/>
      <w:bookmarkStart w:id="42" w:name="_Toc432586805"/>
      <w:bookmarkStart w:id="43" w:name="_Toc413748339"/>
      <w:bookmarkEnd w:id="20"/>
      <w:bookmarkEnd w:id="21"/>
    </w:p>
    <w:p w14:paraId="13E6BA84" w14:textId="3B6BD458" w:rsidR="00C64F44" w:rsidRPr="00C873EE" w:rsidRDefault="00C64F44" w:rsidP="007B2B94">
      <w:pPr>
        <w:pStyle w:val="headline2"/>
        <w:keepNext/>
      </w:pPr>
      <w:bookmarkStart w:id="44" w:name="_Toc5296544"/>
      <w:bookmarkStart w:id="45" w:name="_Toc27486687"/>
      <w:r w:rsidRPr="00C873EE">
        <w:t xml:space="preserve">Article </w:t>
      </w:r>
      <w:r w:rsidR="009B4D82" w:rsidRPr="00C873EE">
        <w:t>9</w:t>
      </w:r>
      <w:r w:rsidRPr="00C873EE">
        <w:br/>
        <w:t>Publication of information</w:t>
      </w:r>
      <w:bookmarkEnd w:id="44"/>
      <w:bookmarkEnd w:id="45"/>
    </w:p>
    <w:p w14:paraId="158E0ACF" w14:textId="68D8DF42" w:rsidR="00C64F44" w:rsidRPr="00C873EE" w:rsidRDefault="00C64F44" w:rsidP="00C64F44">
      <w:pPr>
        <w:pStyle w:val="textregular"/>
        <w:numPr>
          <w:ilvl w:val="0"/>
          <w:numId w:val="17"/>
        </w:numPr>
        <w:spacing w:line="259" w:lineRule="auto"/>
        <w:ind w:left="357" w:hanging="357"/>
        <w:jc w:val="both"/>
      </w:pPr>
      <w:r w:rsidRPr="00C873EE">
        <w:t xml:space="preserve">The TSOs applying </w:t>
      </w:r>
      <w:r w:rsidR="00376DCF" w:rsidRPr="00C873EE">
        <w:t xml:space="preserve">a </w:t>
      </w:r>
      <w:r w:rsidRPr="00C873EE">
        <w:t xml:space="preserve">market-based allocation process in the CCR Nordic shall publish information on offered volumes as well as </w:t>
      </w:r>
      <w:r w:rsidR="00376DCF" w:rsidRPr="00C873EE">
        <w:t xml:space="preserve">the </w:t>
      </w:r>
      <w:r w:rsidRPr="00C873EE">
        <w:t>offered prices of procured balancing capacity, anonymised where necessary, no later than one hour after the results of the procurement have been notified to the bidders, pursuant to Article 12(3)(e) of the EB Regulation.</w:t>
      </w:r>
    </w:p>
    <w:p w14:paraId="05416B2A" w14:textId="38CFD36E" w:rsidR="00C64F44" w:rsidRPr="00C873EE" w:rsidRDefault="00C64F44" w:rsidP="001D14A3">
      <w:pPr>
        <w:pStyle w:val="textregular"/>
        <w:numPr>
          <w:ilvl w:val="0"/>
          <w:numId w:val="17"/>
        </w:numPr>
        <w:spacing w:line="259" w:lineRule="auto"/>
        <w:jc w:val="both"/>
      </w:pPr>
      <w:r w:rsidRPr="00C873EE">
        <w:t>The TSOs applying</w:t>
      </w:r>
      <w:r w:rsidR="00376DCF" w:rsidRPr="00C873EE">
        <w:t xml:space="preserve"> a</w:t>
      </w:r>
      <w:r w:rsidRPr="00C873EE">
        <w:t xml:space="preserve"> market-based allocation process in the CCR Nordic shall publish </w:t>
      </w:r>
      <w:r w:rsidR="00C0362B" w:rsidRPr="00C873EE">
        <w:t xml:space="preserve">the following </w:t>
      </w:r>
      <w:r w:rsidRPr="00C873EE">
        <w:t xml:space="preserve">information on the allocation of CZC for the exchange of balancing capacity pursuant to Article 38 of the EB Regulation at the latest </w:t>
      </w:r>
      <w:r w:rsidR="001D14A3" w:rsidRPr="00C873EE">
        <w:t xml:space="preserve">one hour before </w:t>
      </w:r>
      <w:r w:rsidR="005C7274" w:rsidRPr="00C873EE">
        <w:t xml:space="preserve">the </w:t>
      </w:r>
      <w:r w:rsidR="001D14A3" w:rsidRPr="00C873EE">
        <w:t>single day-ahead coupling gate closure time, as defined in accordance with Article 47(2) of the CACM Regulation</w:t>
      </w:r>
      <w:r w:rsidR="009D4D6E" w:rsidRPr="00C873EE">
        <w:t xml:space="preserve">, </w:t>
      </w:r>
      <w:r w:rsidRPr="00C873EE">
        <w:t>pursuant to Article 12(3)(h) of the EB Regulation</w:t>
      </w:r>
      <w:r w:rsidR="009D4D6E" w:rsidRPr="00C873EE">
        <w:t>:</w:t>
      </w:r>
    </w:p>
    <w:p w14:paraId="39B8D412" w14:textId="77777777" w:rsidR="00C64F44" w:rsidRPr="00C873EE" w:rsidRDefault="00C64F44" w:rsidP="00C64F44">
      <w:pPr>
        <w:pStyle w:val="textenumeration"/>
        <w:numPr>
          <w:ilvl w:val="0"/>
          <w:numId w:val="20"/>
        </w:numPr>
        <w:jc w:val="both"/>
      </w:pPr>
      <w:r w:rsidRPr="00C873EE">
        <w:t xml:space="preserve">date and time when the decision on allocation was made; </w:t>
      </w:r>
    </w:p>
    <w:p w14:paraId="02AC77A8" w14:textId="77777777" w:rsidR="00C64F44" w:rsidRPr="00C873EE" w:rsidRDefault="00C64F44" w:rsidP="00C64F44">
      <w:pPr>
        <w:pStyle w:val="textenumeration"/>
        <w:numPr>
          <w:ilvl w:val="0"/>
          <w:numId w:val="20"/>
        </w:numPr>
        <w:jc w:val="both"/>
      </w:pPr>
      <w:r w:rsidRPr="00C873EE">
        <w:t xml:space="preserve">period of the allocation; </w:t>
      </w:r>
    </w:p>
    <w:p w14:paraId="2D771597" w14:textId="6AD90F2D" w:rsidR="00C64F44" w:rsidRPr="00C873EE" w:rsidRDefault="00C64F44" w:rsidP="00C64F44">
      <w:pPr>
        <w:pStyle w:val="textenumeration"/>
        <w:numPr>
          <w:ilvl w:val="0"/>
          <w:numId w:val="20"/>
        </w:numPr>
        <w:jc w:val="both"/>
      </w:pPr>
      <w:r w:rsidRPr="00C873EE">
        <w:t xml:space="preserve">volumes allocated; </w:t>
      </w:r>
      <w:r w:rsidR="00C0362B" w:rsidRPr="00C873EE">
        <w:t>and</w:t>
      </w:r>
    </w:p>
    <w:p w14:paraId="4C84061E" w14:textId="17EEFE00" w:rsidR="00C64F44" w:rsidRPr="00C873EE" w:rsidRDefault="00C0362B" w:rsidP="00C64F44">
      <w:pPr>
        <w:pStyle w:val="textenumeration"/>
        <w:numPr>
          <w:ilvl w:val="0"/>
          <w:numId w:val="20"/>
        </w:numPr>
        <w:jc w:val="both"/>
      </w:pPr>
      <w:r w:rsidRPr="00C873EE">
        <w:t xml:space="preserve">the </w:t>
      </w:r>
      <w:r w:rsidR="00C64F44" w:rsidRPr="00C873EE">
        <w:t>market values used as a basis for the allocation process in accordance with Article 39 of the EB Regulation</w:t>
      </w:r>
      <w:r w:rsidRPr="00C873EE">
        <w:t>.</w:t>
      </w:r>
    </w:p>
    <w:p w14:paraId="7FEB8995" w14:textId="46931413" w:rsidR="00C64F44" w:rsidRPr="00C873EE" w:rsidRDefault="00C64F44" w:rsidP="00C64F44">
      <w:pPr>
        <w:pStyle w:val="textregular"/>
        <w:numPr>
          <w:ilvl w:val="0"/>
          <w:numId w:val="17"/>
        </w:numPr>
        <w:spacing w:line="259" w:lineRule="auto"/>
        <w:ind w:left="357" w:hanging="357"/>
        <w:jc w:val="both"/>
      </w:pPr>
      <w:r w:rsidRPr="00C873EE">
        <w:t xml:space="preserve">The TSOs applying </w:t>
      </w:r>
      <w:r w:rsidR="00154A13" w:rsidRPr="00C873EE">
        <w:t xml:space="preserve">a </w:t>
      </w:r>
      <w:r w:rsidRPr="00C873EE">
        <w:t xml:space="preserve">market-based allocation process in the CCR Nordic shall </w:t>
      </w:r>
      <w:r w:rsidR="00154A13" w:rsidRPr="00C873EE">
        <w:t xml:space="preserve">publish the following information </w:t>
      </w:r>
      <w:r w:rsidRPr="00C873EE">
        <w:t>on the use of allocated CZC for the exchange of balancing capacity pursuant to Article 38 of the EB Regulation at the latest one week after the use of allocated CZC, pursuant to Article 12(3)(i) of the EB Regulation:</w:t>
      </w:r>
    </w:p>
    <w:p w14:paraId="0A0A0D6C" w14:textId="77777777" w:rsidR="00C64F44" w:rsidRPr="00C873EE" w:rsidRDefault="00C64F44" w:rsidP="00C64F44">
      <w:pPr>
        <w:pStyle w:val="textenumeration"/>
        <w:numPr>
          <w:ilvl w:val="0"/>
          <w:numId w:val="21"/>
        </w:numPr>
        <w:jc w:val="both"/>
      </w:pPr>
      <w:r w:rsidRPr="00C873EE">
        <w:t>volume of allocated and used CZC per MTU,</w:t>
      </w:r>
    </w:p>
    <w:p w14:paraId="3EB1981D" w14:textId="77777777" w:rsidR="00C64F44" w:rsidRPr="00C873EE" w:rsidRDefault="00C64F44" w:rsidP="00C64F44">
      <w:pPr>
        <w:pStyle w:val="textenumeration"/>
        <w:numPr>
          <w:ilvl w:val="0"/>
          <w:numId w:val="21"/>
        </w:numPr>
        <w:jc w:val="both"/>
      </w:pPr>
      <w:r w:rsidRPr="00C873EE">
        <w:t>volume of released CZC for subsequent timeframes per MTU;</w:t>
      </w:r>
    </w:p>
    <w:p w14:paraId="3E256CFF" w14:textId="13760116" w:rsidR="00C64F44" w:rsidRPr="00C873EE" w:rsidRDefault="00C64F44" w:rsidP="00C64F44">
      <w:pPr>
        <w:pStyle w:val="textenumeration"/>
        <w:numPr>
          <w:ilvl w:val="0"/>
          <w:numId w:val="21"/>
        </w:numPr>
        <w:jc w:val="both"/>
      </w:pPr>
      <w:r w:rsidRPr="00C873EE">
        <w:t>estimated realised costs and benefits of the allocation process</w:t>
      </w:r>
      <w:r w:rsidR="0085684D" w:rsidRPr="00C873EE">
        <w:t>.</w:t>
      </w:r>
    </w:p>
    <w:p w14:paraId="3CD35205" w14:textId="77777777" w:rsidR="00C64F44" w:rsidRPr="00C873EE" w:rsidRDefault="00C64F44" w:rsidP="00C64F44">
      <w:pPr>
        <w:pStyle w:val="textenumeration"/>
        <w:numPr>
          <w:ilvl w:val="0"/>
          <w:numId w:val="0"/>
        </w:numPr>
        <w:ind w:left="1068"/>
      </w:pPr>
    </w:p>
    <w:p w14:paraId="11FE6C6D" w14:textId="311456D9" w:rsidR="00C64F44" w:rsidRPr="00C873EE" w:rsidRDefault="00C64F44" w:rsidP="00C64F44">
      <w:pPr>
        <w:pStyle w:val="textregular"/>
        <w:numPr>
          <w:ilvl w:val="0"/>
          <w:numId w:val="17"/>
        </w:numPr>
        <w:spacing w:line="259" w:lineRule="auto"/>
        <w:ind w:left="357" w:hanging="357"/>
        <w:jc w:val="both"/>
      </w:pPr>
      <w:r w:rsidRPr="00C873EE">
        <w:t xml:space="preserve">The TSOs applying </w:t>
      </w:r>
      <w:r w:rsidR="00154A13" w:rsidRPr="00C873EE">
        <w:t xml:space="preserve">a </w:t>
      </w:r>
      <w:r w:rsidRPr="00C873EE">
        <w:t xml:space="preserve">market-based allocation process in the CCR Nordic shall publish the approved methodologies at least one month before </w:t>
      </w:r>
      <w:r w:rsidR="0085684D" w:rsidRPr="00C873EE">
        <w:t>their</w:t>
      </w:r>
      <w:r w:rsidRPr="00C873EE">
        <w:t xml:space="preserve"> application pursuant to Article 12(3)(j) of the EB Regulation.</w:t>
      </w:r>
    </w:p>
    <w:p w14:paraId="68924692" w14:textId="12144ED4" w:rsidR="00C64F44" w:rsidRPr="00C873EE" w:rsidRDefault="00154A13" w:rsidP="00C64F44">
      <w:pPr>
        <w:pStyle w:val="textregular"/>
        <w:numPr>
          <w:ilvl w:val="0"/>
          <w:numId w:val="17"/>
        </w:numPr>
        <w:spacing w:line="259" w:lineRule="auto"/>
        <w:ind w:left="357" w:hanging="357"/>
        <w:jc w:val="both"/>
      </w:pPr>
      <w:r w:rsidRPr="00C873EE">
        <w:t>S</w:t>
      </w:r>
      <w:r w:rsidR="00C64F44" w:rsidRPr="00C873EE">
        <w:t xml:space="preserve">ubject to approval pursuant to Article 18 of the EB Regulation, a TSO may withhold the publication of information on offered prices and volumes of balancing capacity or balancing energy bids if </w:t>
      </w:r>
      <w:r w:rsidR="00FE5B61" w:rsidRPr="00C873EE">
        <w:t xml:space="preserve">both </w:t>
      </w:r>
      <w:r w:rsidR="00C64F44" w:rsidRPr="00C873EE">
        <w:t xml:space="preserve">justified for reasons of market abuse concerns and not detrimental to the effective functioning of the electricity markets. A TSO shall report such withholdings at least once a year to the relevant regulatory authority in accordance with </w:t>
      </w:r>
      <w:r w:rsidR="00637791" w:rsidRPr="00C873EE">
        <w:t>A</w:t>
      </w:r>
      <w:r w:rsidR="00FC63A0" w:rsidRPr="00C873EE">
        <w:t xml:space="preserve">rticle 59 of Directive (EU) 2019/944 </w:t>
      </w:r>
      <w:r w:rsidR="00C64F44" w:rsidRPr="00C873EE">
        <w:t>and pursuant to Article 12(4) of the EB Regulation.</w:t>
      </w:r>
    </w:p>
    <w:p w14:paraId="4EAA38FD" w14:textId="77777777" w:rsidR="00C64F44" w:rsidRPr="00C873EE" w:rsidRDefault="00C64F44" w:rsidP="00C64F44">
      <w:pPr>
        <w:pStyle w:val="headline2"/>
        <w:keepNext/>
        <w:spacing w:before="480"/>
      </w:pPr>
      <w:bookmarkStart w:id="46" w:name="_Toc5296545"/>
      <w:bookmarkStart w:id="47" w:name="_Toc27486688"/>
      <w:r w:rsidRPr="00C873EE">
        <w:t>TITLE 3</w:t>
      </w:r>
      <w:r w:rsidRPr="00C873EE">
        <w:br/>
        <w:t>Final provisions</w:t>
      </w:r>
      <w:bookmarkEnd w:id="46"/>
      <w:bookmarkEnd w:id="47"/>
    </w:p>
    <w:p w14:paraId="7359159A" w14:textId="3020E0B3" w:rsidR="00C64F44" w:rsidRPr="00C873EE" w:rsidRDefault="00C64F44" w:rsidP="00C64F44">
      <w:pPr>
        <w:pStyle w:val="headline2"/>
        <w:keepNext/>
        <w:tabs>
          <w:tab w:val="left" w:pos="3400"/>
          <w:tab w:val="center" w:pos="4762"/>
        </w:tabs>
      </w:pPr>
      <w:bookmarkStart w:id="48" w:name="_Toc5296546"/>
      <w:bookmarkStart w:id="49" w:name="_Toc27486689"/>
      <w:r w:rsidRPr="00C873EE">
        <w:t xml:space="preserve">Article </w:t>
      </w:r>
      <w:r w:rsidR="009B4D82" w:rsidRPr="00C873EE">
        <w:t>10</w:t>
      </w:r>
      <w:r w:rsidRPr="00C873EE">
        <w:br/>
      </w:r>
      <w:bookmarkEnd w:id="37"/>
      <w:bookmarkEnd w:id="38"/>
      <w:bookmarkEnd w:id="39"/>
      <w:bookmarkEnd w:id="40"/>
      <w:bookmarkEnd w:id="41"/>
      <w:bookmarkEnd w:id="42"/>
      <w:r w:rsidRPr="00C873EE">
        <w:t>Publication and implementation of the Proposal</w:t>
      </w:r>
      <w:bookmarkEnd w:id="48"/>
      <w:bookmarkEnd w:id="49"/>
    </w:p>
    <w:p w14:paraId="3B9EB107" w14:textId="0D9416F6" w:rsidR="00C64F44" w:rsidRPr="00C873EE" w:rsidRDefault="00C64F44" w:rsidP="00C64F44">
      <w:pPr>
        <w:pStyle w:val="ListParagraph"/>
        <w:keepNext/>
        <w:numPr>
          <w:ilvl w:val="0"/>
          <w:numId w:val="7"/>
        </w:numPr>
        <w:spacing w:after="0" w:line="240" w:lineRule="auto"/>
        <w:rPr>
          <w:lang w:val="en-GB"/>
        </w:rPr>
      </w:pPr>
      <w:r w:rsidRPr="00C873EE">
        <w:rPr>
          <w:lang w:val="en-GB"/>
        </w:rPr>
        <w:t xml:space="preserve">The TSOs shall publish the Proposal without undue delay after all </w:t>
      </w:r>
      <w:r w:rsidR="0085684D" w:rsidRPr="00C873EE">
        <w:rPr>
          <w:lang w:val="en-GB"/>
        </w:rPr>
        <w:t xml:space="preserve">the </w:t>
      </w:r>
      <w:r w:rsidRPr="00C873EE">
        <w:rPr>
          <w:lang w:val="en-GB"/>
        </w:rPr>
        <w:t xml:space="preserve">regulatory authorities of </w:t>
      </w:r>
      <w:r w:rsidR="00F26C9F" w:rsidRPr="00C873EE">
        <w:rPr>
          <w:lang w:val="en-GB"/>
        </w:rPr>
        <w:t xml:space="preserve">the </w:t>
      </w:r>
      <w:r w:rsidRPr="00C873EE">
        <w:rPr>
          <w:lang w:val="en-GB"/>
        </w:rPr>
        <w:t>CCR Nordic have approved the Proposal or a decision has been taken by the Agency for the Cooperation of Energy Regulators in accordance with Article 5(6), Article 5(7), Article 6(1) and Article 6(2) of the EB Regulation.</w:t>
      </w:r>
    </w:p>
    <w:p w14:paraId="51FA2B97" w14:textId="77777777" w:rsidR="00C64F44" w:rsidRPr="00C873EE" w:rsidRDefault="00C64F44" w:rsidP="00C64F44">
      <w:pPr>
        <w:pStyle w:val="ListParagraph"/>
        <w:rPr>
          <w:lang w:val="en-GB"/>
        </w:rPr>
      </w:pPr>
    </w:p>
    <w:p w14:paraId="056715BA" w14:textId="0AE2373D" w:rsidR="00C64F44" w:rsidRPr="00C873EE" w:rsidRDefault="00C64F44" w:rsidP="00C64F44">
      <w:pPr>
        <w:pStyle w:val="ListParagraph"/>
        <w:numPr>
          <w:ilvl w:val="0"/>
          <w:numId w:val="7"/>
        </w:numPr>
        <w:spacing w:after="120"/>
        <w:contextualSpacing w:val="0"/>
        <w:rPr>
          <w:lang w:val="en-GB"/>
        </w:rPr>
      </w:pPr>
      <w:r w:rsidRPr="00C873EE">
        <w:rPr>
          <w:lang w:val="en-GB"/>
        </w:rPr>
        <w:t xml:space="preserve">The TSOs shall implement the Proposal at the same time as the common and harmonised rules and processes for </w:t>
      </w:r>
      <w:r w:rsidR="009761F4" w:rsidRPr="00C873EE">
        <w:rPr>
          <w:lang w:val="en-GB"/>
        </w:rPr>
        <w:t xml:space="preserve">the </w:t>
      </w:r>
      <w:r w:rsidRPr="00C873EE">
        <w:rPr>
          <w:lang w:val="en-GB"/>
        </w:rPr>
        <w:t xml:space="preserve">exchange and procurement of balancing capacity in accordance with Article 33(1) </w:t>
      </w:r>
      <w:r w:rsidR="001E1834" w:rsidRPr="00C873EE">
        <w:rPr>
          <w:lang w:val="en-GB"/>
        </w:rPr>
        <w:t xml:space="preserve">and the application of </w:t>
      </w:r>
      <w:r w:rsidR="009761F4" w:rsidRPr="00C873EE">
        <w:rPr>
          <w:lang w:val="en-GB"/>
        </w:rPr>
        <w:t xml:space="preserve">a </w:t>
      </w:r>
      <w:r w:rsidR="001E1834" w:rsidRPr="00C873EE">
        <w:rPr>
          <w:lang w:val="en-GB"/>
        </w:rPr>
        <w:t xml:space="preserve">market-based allocation process in accordance with Article 38(1) </w:t>
      </w:r>
      <w:r w:rsidRPr="00C873EE">
        <w:rPr>
          <w:lang w:val="en-GB"/>
        </w:rPr>
        <w:t>of the EB Regulation.</w:t>
      </w:r>
    </w:p>
    <w:p w14:paraId="5EB93A30" w14:textId="77777777" w:rsidR="00C64F44" w:rsidRPr="00C873EE" w:rsidRDefault="00C64F44" w:rsidP="00C64F44">
      <w:pPr>
        <w:pStyle w:val="ListParagraph"/>
        <w:spacing w:after="0" w:line="240" w:lineRule="auto"/>
        <w:ind w:left="360"/>
        <w:rPr>
          <w:lang w:val="en-GB"/>
        </w:rPr>
      </w:pPr>
    </w:p>
    <w:p w14:paraId="02FA376E" w14:textId="236DD556" w:rsidR="00C64F44" w:rsidRPr="00C873EE" w:rsidRDefault="00C64F44" w:rsidP="00C64F44">
      <w:pPr>
        <w:pStyle w:val="headline2"/>
      </w:pPr>
      <w:bookmarkStart w:id="50" w:name="_Toc432586786"/>
      <w:bookmarkStart w:id="51" w:name="_Toc432586806"/>
      <w:bookmarkStart w:id="52" w:name="_Toc5296547"/>
      <w:bookmarkStart w:id="53" w:name="_Toc27486690"/>
      <w:r w:rsidRPr="00C873EE">
        <w:t xml:space="preserve">Article </w:t>
      </w:r>
      <w:r w:rsidR="009B4D82" w:rsidRPr="00C873EE">
        <w:t>11</w:t>
      </w:r>
      <w:r w:rsidRPr="00C873EE">
        <w:br/>
        <w:t>Language</w:t>
      </w:r>
      <w:bookmarkEnd w:id="50"/>
      <w:bookmarkEnd w:id="51"/>
      <w:bookmarkEnd w:id="52"/>
      <w:bookmarkEnd w:id="53"/>
    </w:p>
    <w:p w14:paraId="542D3154" w14:textId="479E043B" w:rsidR="00C64F44" w:rsidRPr="00C873EE" w:rsidRDefault="00C64F44" w:rsidP="00C64F44">
      <w:pPr>
        <w:spacing w:after="120" w:line="259" w:lineRule="auto"/>
        <w:jc w:val="both"/>
      </w:pPr>
      <w:r w:rsidRPr="00C873EE">
        <w:t xml:space="preserve">The reference language for the Proposal shall be English. For the avoidance of doubt, where TSOs need to translate the Proposal into their national language(s), in the event of inconsistencies between the English version published by TSOs in accordance with Article 7 of </w:t>
      </w:r>
      <w:r w:rsidR="0085684D" w:rsidRPr="00C873EE">
        <w:t xml:space="preserve">the </w:t>
      </w:r>
      <w:r w:rsidRPr="00C873EE">
        <w:t>EB Regulation and any version in another language, the relevant TSOs shall, in accordance with national legislation, provide the relevant national regulatory authorities with an updated translation of the Proposal.</w:t>
      </w:r>
      <w:bookmarkEnd w:id="1"/>
      <w:bookmarkEnd w:id="43"/>
    </w:p>
    <w:p w14:paraId="64CA5076" w14:textId="77777777" w:rsidR="00C64F44" w:rsidRPr="00C873EE" w:rsidRDefault="00C64F44" w:rsidP="00C64F44"/>
    <w:p w14:paraId="407DB3C1" w14:textId="77777777" w:rsidR="001F15BE" w:rsidRPr="00C873EE" w:rsidRDefault="001F15BE" w:rsidP="005A1115">
      <w:pPr>
        <w:spacing w:after="120"/>
        <w:jc w:val="both"/>
      </w:pPr>
    </w:p>
    <w:sectPr w:rsidR="001F15BE" w:rsidRPr="00C873EE" w:rsidSect="001A55A2">
      <w:headerReference w:type="even" r:id="rId11"/>
      <w:headerReference w:type="default" r:id="rId12"/>
      <w:footerReference w:type="even" r:id="rId13"/>
      <w:footerReference w:type="default" r:id="rId14"/>
      <w:headerReference w:type="first" r:id="rId15"/>
      <w:footerReference w:type="first" r:id="rId16"/>
      <w:pgSz w:w="11906" w:h="16838"/>
      <w:pgMar w:top="1928" w:right="1021" w:bottom="1701" w:left="136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D6CC4" w14:textId="77777777" w:rsidR="0046797F" w:rsidRDefault="0046797F" w:rsidP="00B04144">
      <w:r>
        <w:separator/>
      </w:r>
    </w:p>
  </w:endnote>
  <w:endnote w:type="continuationSeparator" w:id="0">
    <w:p w14:paraId="01B616AD" w14:textId="77777777" w:rsidR="0046797F" w:rsidRDefault="0046797F" w:rsidP="00B04144">
      <w:r>
        <w:continuationSeparator/>
      </w:r>
    </w:p>
  </w:endnote>
  <w:endnote w:type="continuationNotice" w:id="1">
    <w:p w14:paraId="63926DC6" w14:textId="77777777" w:rsidR="0046797F" w:rsidRDefault="00467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5CD1" w14:textId="77777777" w:rsidR="00B20783" w:rsidRDefault="00B20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362" w:tblpY="16132"/>
      <w:tblW w:w="0" w:type="auto"/>
      <w:tblLayout w:type="fixed"/>
      <w:tblCellMar>
        <w:left w:w="0" w:type="dxa"/>
        <w:right w:w="0" w:type="dxa"/>
      </w:tblCellMar>
      <w:tblLook w:val="04A0" w:firstRow="1" w:lastRow="0" w:firstColumn="1" w:lastColumn="0" w:noHBand="0" w:noVBand="1"/>
    </w:tblPr>
    <w:tblGrid>
      <w:gridCol w:w="9923"/>
    </w:tblGrid>
    <w:tr w:rsidR="003B1AB2" w:rsidRPr="008A7DB7" w14:paraId="5C914DB7" w14:textId="77777777" w:rsidTr="008A7DB7">
      <w:trPr>
        <w:trHeight w:hRule="exact" w:val="284"/>
      </w:trPr>
      <w:tc>
        <w:tcPr>
          <w:tcW w:w="9923" w:type="dxa"/>
          <w:shd w:val="clear" w:color="auto" w:fill="auto"/>
          <w:vAlign w:val="center"/>
        </w:tcPr>
        <w:p w14:paraId="3BB652BF" w14:textId="77777777" w:rsidR="003B1AB2" w:rsidRPr="008A7DB7" w:rsidRDefault="003B1AB2" w:rsidP="008A7DB7">
          <w:pPr>
            <w:pStyle w:val="Footer"/>
            <w:rPr>
              <w:rFonts w:ascii="Arial" w:hAnsi="Arial" w:cs="Arial"/>
              <w:sz w:val="14"/>
              <w:szCs w:val="14"/>
              <w:lang w:val="de-DE"/>
            </w:rPr>
          </w:pPr>
          <w:r w:rsidRPr="008A7DB7">
            <w:rPr>
              <w:rFonts w:ascii="Arial" w:hAnsi="Arial" w:cs="Arial"/>
              <w:sz w:val="14"/>
              <w:szCs w:val="14"/>
              <w:lang w:val="de-DE"/>
            </w:rPr>
            <w:t xml:space="preserve">ENTSO-E </w:t>
          </w:r>
          <w:r w:rsidRPr="008A7DB7">
            <w:rPr>
              <w:rFonts w:ascii="Arial" w:hAnsi="Arial" w:cs="Arial"/>
              <w:sz w:val="10"/>
              <w:szCs w:val="14"/>
              <w:lang w:val="de-DE"/>
            </w:rPr>
            <w:t>AISBL</w:t>
          </w:r>
          <w:r w:rsidRPr="008A7DB7">
            <w:rPr>
              <w:rFonts w:ascii="Arial" w:hAnsi="Arial" w:cs="Arial"/>
              <w:sz w:val="14"/>
              <w:szCs w:val="14"/>
              <w:lang w:val="de-DE"/>
            </w:rPr>
            <w:t xml:space="preserve"> • Avenue de Cortenbergh 100 • 1000 Brussels • Belgium • Tel + 32 2 741 09 50 • Fax + 32 2 741 09 51 • info@entsoe.eu • www. entsoe.eu</w:t>
          </w:r>
        </w:p>
      </w:tc>
    </w:tr>
  </w:tbl>
  <w:p w14:paraId="4D5F47A3" w14:textId="77777777" w:rsidR="003B1AB2" w:rsidRPr="008A7DB7" w:rsidRDefault="003B1AB2" w:rsidP="008A7DB7">
    <w:pPr>
      <w:rPr>
        <w:vanish/>
      </w:rPr>
    </w:pPr>
  </w:p>
  <w:tbl>
    <w:tblPr>
      <w:tblpPr w:leftFromText="142" w:rightFromText="142" w:vertAnchor="page" w:horzAnchor="margin" w:tblpXSpec="right" w:tblpY="15707"/>
      <w:tblW w:w="0" w:type="auto"/>
      <w:tblLayout w:type="fixed"/>
      <w:tblCellMar>
        <w:left w:w="0" w:type="dxa"/>
        <w:right w:w="0" w:type="dxa"/>
      </w:tblCellMar>
      <w:tblLook w:val="04A0" w:firstRow="1" w:lastRow="0" w:firstColumn="1" w:lastColumn="0" w:noHBand="0" w:noVBand="1"/>
    </w:tblPr>
    <w:tblGrid>
      <w:gridCol w:w="624"/>
    </w:tblGrid>
    <w:tr w:rsidR="003B1AB2" w:rsidRPr="008A7DB7" w14:paraId="1012B820" w14:textId="77777777" w:rsidTr="008A7DB7">
      <w:trPr>
        <w:trHeight w:hRule="exact" w:val="284"/>
      </w:trPr>
      <w:tc>
        <w:tcPr>
          <w:tcW w:w="624" w:type="dxa"/>
          <w:shd w:val="clear" w:color="auto" w:fill="auto"/>
        </w:tcPr>
        <w:p w14:paraId="5B4C101B" w14:textId="0EF343DF" w:rsidR="003B1AB2" w:rsidRPr="008A7DB7" w:rsidRDefault="003B1AB2" w:rsidP="008A7DB7">
          <w:pPr>
            <w:pStyle w:val="Footer"/>
            <w:jc w:val="right"/>
          </w:pPr>
          <w:r w:rsidRPr="008A7DB7">
            <w:fldChar w:fldCharType="begin"/>
          </w:r>
          <w:r w:rsidRPr="008A7DB7">
            <w:instrText xml:space="preserve"> PAGE   \* MERGEFORMAT </w:instrText>
          </w:r>
          <w:r w:rsidRPr="008A7DB7">
            <w:fldChar w:fldCharType="separate"/>
          </w:r>
          <w:r>
            <w:rPr>
              <w:noProof/>
            </w:rPr>
            <w:t>10</w:t>
          </w:r>
          <w:r w:rsidRPr="008A7DB7">
            <w:rPr>
              <w:noProof/>
            </w:rPr>
            <w:fldChar w:fldCharType="end"/>
          </w:r>
        </w:p>
      </w:tc>
    </w:tr>
  </w:tbl>
  <w:p w14:paraId="392E4EB6" w14:textId="77777777" w:rsidR="003B1AB2" w:rsidRPr="003D0965" w:rsidRDefault="003B1AB2" w:rsidP="003D0965">
    <w:pPr>
      <w:pStyle w:val="Footer"/>
    </w:pPr>
    <w:r>
      <w:rPr>
        <w:noProof/>
        <w:lang w:val="fi-FI" w:eastAsia="fi-FI"/>
      </w:rPr>
      <w:drawing>
        <wp:anchor distT="0" distB="0" distL="114300" distR="114300" simplePos="0" relativeHeight="251654656" behindDoc="1" locked="1" layoutInCell="1" allowOverlap="1" wp14:anchorId="1BB1ACFA" wp14:editId="0A45B642">
          <wp:simplePos x="0" y="0"/>
          <wp:positionH relativeFrom="page">
            <wp:posOffset>0</wp:posOffset>
          </wp:positionH>
          <wp:positionV relativeFrom="page">
            <wp:posOffset>9725025</wp:posOffset>
          </wp:positionV>
          <wp:extent cx="7000875" cy="426085"/>
          <wp:effectExtent l="0" t="0" r="0" b="0"/>
          <wp:wrapNone/>
          <wp:docPr id="5" name="Grafik 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descr="Footer.wmf"/>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0875" cy="4260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362" w:tblpY="16132"/>
      <w:tblW w:w="0" w:type="auto"/>
      <w:tblLayout w:type="fixed"/>
      <w:tblCellMar>
        <w:left w:w="0" w:type="dxa"/>
        <w:right w:w="0" w:type="dxa"/>
      </w:tblCellMar>
      <w:tblLook w:val="04A0" w:firstRow="1" w:lastRow="0" w:firstColumn="1" w:lastColumn="0" w:noHBand="0" w:noVBand="1"/>
    </w:tblPr>
    <w:tblGrid>
      <w:gridCol w:w="10048"/>
    </w:tblGrid>
    <w:tr w:rsidR="003B1AB2" w:rsidRPr="008A7DB7" w14:paraId="4CABB393" w14:textId="77777777" w:rsidTr="008A7DB7">
      <w:trPr>
        <w:trHeight w:hRule="exact" w:val="712"/>
      </w:trPr>
      <w:tc>
        <w:tcPr>
          <w:tcW w:w="10048" w:type="dxa"/>
          <w:shd w:val="clear" w:color="auto" w:fill="auto"/>
          <w:vAlign w:val="center"/>
        </w:tcPr>
        <w:p w14:paraId="7DB2BA8D" w14:textId="77777777" w:rsidR="003B1AB2" w:rsidRPr="008A7DB7" w:rsidRDefault="003B1AB2" w:rsidP="008A7DB7">
          <w:pPr>
            <w:pStyle w:val="Footer"/>
            <w:rPr>
              <w:rFonts w:ascii="Arial" w:hAnsi="Arial" w:cs="Arial"/>
              <w:sz w:val="14"/>
              <w:szCs w:val="14"/>
              <w:lang w:val="fr-FR"/>
            </w:rPr>
          </w:pPr>
          <w:r w:rsidRPr="008A7DB7">
            <w:rPr>
              <w:rFonts w:ascii="Arial" w:hAnsi="Arial" w:cs="Arial"/>
              <w:sz w:val="14"/>
              <w:szCs w:val="14"/>
              <w:lang w:val="fr-FR"/>
            </w:rPr>
            <w:t xml:space="preserve">ENTSO-E </w:t>
          </w:r>
          <w:r w:rsidRPr="008A7DB7">
            <w:rPr>
              <w:rFonts w:ascii="Arial" w:hAnsi="Arial" w:cs="Arial"/>
              <w:sz w:val="10"/>
              <w:szCs w:val="14"/>
              <w:lang w:val="fr-FR"/>
            </w:rPr>
            <w:t>AISBL</w:t>
          </w:r>
          <w:r w:rsidRPr="008A7DB7">
            <w:rPr>
              <w:rFonts w:ascii="Arial" w:hAnsi="Arial" w:cs="Arial"/>
              <w:sz w:val="14"/>
              <w:szCs w:val="14"/>
              <w:lang w:val="fr-FR"/>
            </w:rPr>
            <w:t xml:space="preserve"> • Avenue de Cortenbergh 100 • 1000 Brussels • Belgium • Tel + 32 2 741 09 50 • Fax + 32 2 741 09 51 • info@entsoe.eu • www. entsoe.eu</w:t>
          </w:r>
        </w:p>
      </w:tc>
    </w:tr>
  </w:tbl>
  <w:p w14:paraId="7214EE15" w14:textId="77777777" w:rsidR="003B1AB2" w:rsidRDefault="003B1AB2">
    <w:pPr>
      <w:pStyle w:val="Footer"/>
    </w:pPr>
    <w:r>
      <w:rPr>
        <w:noProof/>
        <w:lang w:val="fi-FI" w:eastAsia="fi-FI"/>
      </w:rPr>
      <mc:AlternateContent>
        <mc:Choice Requires="wps">
          <w:drawing>
            <wp:anchor distT="0" distB="0" distL="114300" distR="114300" simplePos="0" relativeHeight="251660800" behindDoc="1" locked="0" layoutInCell="1" allowOverlap="1" wp14:anchorId="52979646" wp14:editId="1C6CD858">
              <wp:simplePos x="0" y="0"/>
              <wp:positionH relativeFrom="column">
                <wp:posOffset>-864235</wp:posOffset>
              </wp:positionH>
              <wp:positionV relativeFrom="paragraph">
                <wp:posOffset>-298450</wp:posOffset>
              </wp:positionV>
              <wp:extent cx="6991350" cy="63817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638175"/>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chemeClr val="accent3">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30B5A" id="Rectangle 6" o:spid="_x0000_s1026" style="position:absolute;margin-left:-68.05pt;margin-top:-23.5pt;width:550.5pt;height:5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" stroked="f" strokecolor="#a5a5a5 [3206]"/>
          </w:pict>
        </mc:Fallback>
      </mc:AlternateContent>
    </w:r>
    <w:r>
      <w:rPr>
        <w:noProof/>
        <w:lang w:val="fi-FI" w:eastAsia="fi-FI"/>
      </w:rPr>
      <mc:AlternateContent>
        <mc:Choice Requires="wps">
          <w:drawing>
            <wp:anchor distT="0" distB="0" distL="114300" distR="114300" simplePos="0" relativeHeight="251657728" behindDoc="1" locked="1" layoutInCell="1" allowOverlap="1" wp14:anchorId="16B46470" wp14:editId="217DE692">
              <wp:simplePos x="0" y="0"/>
              <wp:positionH relativeFrom="page">
                <wp:posOffset>0</wp:posOffset>
              </wp:positionH>
              <wp:positionV relativeFrom="page">
                <wp:posOffset>6642735</wp:posOffset>
              </wp:positionV>
              <wp:extent cx="7578090" cy="383413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8090" cy="3834130"/>
                      </a:xfrm>
                      <a:prstGeom prst="rect">
                        <a:avLst/>
                      </a:prstGeom>
                      <a:gradFill rotWithShape="1">
                        <a:gsLst>
                          <a:gs pos="0">
                            <a:srgbClr val="FFFFFF">
                              <a:alpha val="25000"/>
                            </a:srgbClr>
                          </a:gs>
                          <a:gs pos="100000">
                            <a:srgbClr val="DCDCD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C78D3" id="Rectangle 5" o:spid="_x0000_s1026" style="position:absolute;margin-left:0;margin-top:523.05pt;width:596.7pt;height:30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" stroked="f">
              <v:fill opacity=".25" color2="#dcdcdc" rotate="t" focus="100%" type="gradient"/>
              <w10:wrap anchorx="page" anchory="page"/>
              <w10:anchorlock/>
            </v:rect>
          </w:pict>
        </mc:Fallback>
      </mc:AlternateContent>
    </w:r>
    <w:r>
      <w:rPr>
        <w:noProof/>
        <w:lang w:val="fi-FI" w:eastAsia="fi-FI"/>
      </w:rPr>
      <w:drawing>
        <wp:anchor distT="0" distB="0" distL="114300" distR="114300" simplePos="0" relativeHeight="251658752" behindDoc="1" locked="1" layoutInCell="1" allowOverlap="1" wp14:anchorId="76032642" wp14:editId="71DFAD28">
          <wp:simplePos x="0" y="0"/>
          <wp:positionH relativeFrom="page">
            <wp:posOffset>0</wp:posOffset>
          </wp:positionH>
          <wp:positionV relativeFrom="page">
            <wp:posOffset>9725025</wp:posOffset>
          </wp:positionV>
          <wp:extent cx="6994525" cy="426085"/>
          <wp:effectExtent l="0" t="0" r="0" b="0"/>
          <wp:wrapNone/>
          <wp:docPr id="1" name="Grafik 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descr="Footer.wmf"/>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4525" cy="4260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7B73A" w14:textId="77777777" w:rsidR="0046797F" w:rsidRDefault="0046797F" w:rsidP="00B04144">
      <w:r>
        <w:separator/>
      </w:r>
    </w:p>
  </w:footnote>
  <w:footnote w:type="continuationSeparator" w:id="0">
    <w:p w14:paraId="433D544D" w14:textId="77777777" w:rsidR="0046797F" w:rsidRDefault="0046797F" w:rsidP="00B04144">
      <w:r>
        <w:continuationSeparator/>
      </w:r>
    </w:p>
  </w:footnote>
  <w:footnote w:type="continuationNotice" w:id="1">
    <w:p w14:paraId="4EAE7633" w14:textId="77777777" w:rsidR="0046797F" w:rsidRDefault="004679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5234D" w14:textId="77777777" w:rsidR="00B20783" w:rsidRDefault="00B20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888" w:type="dxa"/>
      <w:tblCellMar>
        <w:left w:w="0" w:type="dxa"/>
        <w:right w:w="0" w:type="dxa"/>
      </w:tblCellMar>
      <w:tblLook w:val="04A0" w:firstRow="1" w:lastRow="0" w:firstColumn="1" w:lastColumn="0" w:noHBand="0" w:noVBand="1"/>
    </w:tblPr>
    <w:tblGrid>
      <w:gridCol w:w="6888"/>
    </w:tblGrid>
    <w:tr w:rsidR="003B1AB2" w:rsidRPr="008A7DB7" w14:paraId="4E22BCEF" w14:textId="77777777" w:rsidTr="008A7DB7">
      <w:trPr>
        <w:trHeight w:hRule="exact" w:val="1303"/>
      </w:trPr>
      <w:tc>
        <w:tcPr>
          <w:tcW w:w="6888" w:type="dxa"/>
          <w:shd w:val="clear" w:color="auto" w:fill="auto"/>
        </w:tcPr>
        <w:p w14:paraId="3F522A04" w14:textId="0AF5F816" w:rsidR="003B1AB2" w:rsidRPr="008A7DB7" w:rsidRDefault="003B1AB2" w:rsidP="00BF6165">
          <w:pPr>
            <w:rPr>
              <w:lang w:val="en-US"/>
            </w:rPr>
          </w:pPr>
          <w:r w:rsidRPr="0085684D">
            <w:rPr>
              <w:sz w:val="20"/>
              <w:lang w:val="en-US"/>
            </w:rPr>
            <w:t>All TSOs’ of CCR Nordic proposal for a methodology for a market-based allocation process of cross-zonal capacity for the exchange of balancing capacity in accordance with Article 41(1) of Commission Regulation (EU) 2017/2195 of 23 November 2017 establishing a guideline on electricity balancing</w:t>
          </w:r>
        </w:p>
      </w:tc>
    </w:tr>
  </w:tbl>
  <w:p w14:paraId="25B702BB" w14:textId="77777777" w:rsidR="003B1AB2" w:rsidRDefault="003B1AB2" w:rsidP="00731E4C">
    <w:pPr>
      <w:pStyle w:val="Footer"/>
      <w:tabs>
        <w:tab w:val="clear" w:pos="4536"/>
        <w:tab w:val="clear" w:pos="9072"/>
        <w:tab w:val="left" w:pos="6360"/>
      </w:tabs>
    </w:pPr>
    <w:r>
      <w:rPr>
        <w:noProof/>
        <w:lang w:val="fi-FI" w:eastAsia="fi-FI"/>
      </w:rPr>
      <mc:AlternateContent>
        <mc:Choice Requires="wps">
          <w:drawing>
            <wp:anchor distT="4294967293" distB="4294967293" distL="114300" distR="114300" simplePos="0" relativeHeight="251659776" behindDoc="0" locked="1" layoutInCell="1" allowOverlap="1" wp14:anchorId="3A60A4A1" wp14:editId="28987A40">
              <wp:simplePos x="0" y="0"/>
              <wp:positionH relativeFrom="page">
                <wp:posOffset>864235</wp:posOffset>
              </wp:positionH>
              <wp:positionV relativeFrom="page">
                <wp:posOffset>1242694</wp:posOffset>
              </wp:positionV>
              <wp:extent cx="6047740" cy="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12700">
                        <a:solidFill>
                          <a:srgbClr val="23236E">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FB4BC3" id="_x0000_t32" coordsize="21600,21600" o:spt="32" o:oned="t" path="m,l21600,21600e" filled="f">
              <v:path arrowok="t" fillok="f" o:connecttype="none"/>
              <o:lock v:ext="edit" shapetype="t"/>
            </v:shapetype>
            <v:shape id="AutoShape 8" o:spid="_x0000_s1026" type="#_x0000_t32" style="position:absolute;margin-left:68.05pt;margin-top:97.85pt;width:476.2pt;height:0;z-index:2516597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" strokecolor="#23236e" strokeweight="1pt">
              <w10:wrap anchorx="page" anchory="page"/>
              <w10:anchorlock/>
            </v:shape>
          </w:pict>
        </mc:Fallback>
      </mc:AlternateContent>
    </w:r>
    <w:r>
      <w:rPr>
        <w:noProof/>
        <w:lang w:val="fi-FI" w:eastAsia="fi-FI"/>
      </w:rPr>
      <w:drawing>
        <wp:anchor distT="0" distB="0" distL="114300" distR="114300" simplePos="0" relativeHeight="251655680" behindDoc="0" locked="1" layoutInCell="1" allowOverlap="1" wp14:anchorId="7C96A0D8" wp14:editId="39A57621">
          <wp:simplePos x="0" y="0"/>
          <wp:positionH relativeFrom="page">
            <wp:posOffset>5483225</wp:posOffset>
          </wp:positionH>
          <wp:positionV relativeFrom="page">
            <wp:posOffset>360045</wp:posOffset>
          </wp:positionV>
          <wp:extent cx="1514475" cy="381000"/>
          <wp:effectExtent l="0" t="0" r="0" b="0"/>
          <wp:wrapNone/>
          <wp:docPr id="6" name="Grafik 5"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wmf"/>
                  <pic:cNvPicPr>
                    <a:picLocks noChangeAspect="1" noChangeArrowheads="1"/>
                  </pic:cNvPicPr>
                </pic:nvPicPr>
                <pic:blipFill>
                  <a:blip r:embed="rId1">
                    <a:extLst>
                      <a:ext uri="{28A0092B-C50C-407E-A947-70E740481C1C}">
                        <a14:useLocalDpi xmlns:a14="http://schemas.microsoft.com/office/drawing/2010/main" val="0"/>
                      </a:ext>
                    </a:extLst>
                  </a:blip>
                  <a:srcRect l="48293"/>
                  <a:stretch>
                    <a:fillRect/>
                  </a:stretch>
                </pic:blipFill>
                <pic:spPr bwMode="auto">
                  <a:xfrm>
                    <a:off x="0" y="0"/>
                    <a:ext cx="15144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topFromText="5528" w:vertAnchor="page" w:horzAnchor="page" w:tblpX="1362" w:tblpY="5104"/>
      <w:tblW w:w="9644" w:type="dxa"/>
      <w:tblBorders>
        <w:top w:val="single" w:sz="8" w:space="0" w:color="23236E"/>
        <w:bottom w:val="single" w:sz="8" w:space="0" w:color="auto"/>
      </w:tblBorders>
      <w:tblLayout w:type="fixed"/>
      <w:tblCellMar>
        <w:left w:w="0" w:type="dxa"/>
        <w:right w:w="0" w:type="dxa"/>
      </w:tblCellMar>
      <w:tblLook w:val="04A0" w:firstRow="1" w:lastRow="0" w:firstColumn="1" w:lastColumn="0" w:noHBand="0" w:noVBand="1"/>
    </w:tblPr>
    <w:tblGrid>
      <w:gridCol w:w="9644"/>
    </w:tblGrid>
    <w:tr w:rsidR="003B1AB2" w:rsidRPr="008A7DB7" w14:paraId="392C2866" w14:textId="77777777" w:rsidTr="008A7DB7">
      <w:trPr>
        <w:trHeight w:val="2182"/>
      </w:trPr>
      <w:tc>
        <w:tcPr>
          <w:tcW w:w="9644" w:type="dxa"/>
          <w:shd w:val="clear" w:color="auto" w:fill="auto"/>
          <w:tcMar>
            <w:top w:w="198" w:type="dxa"/>
          </w:tcMar>
        </w:tcPr>
        <w:p w14:paraId="311CCE89" w14:textId="77777777" w:rsidR="003B1AB2" w:rsidRPr="008A7DB7" w:rsidRDefault="003B1AB2" w:rsidP="008A7DB7">
          <w:pPr>
            <w:pStyle w:val="headlineheader"/>
            <w:rPr>
              <w:lang w:val="en-US"/>
            </w:rPr>
          </w:pPr>
        </w:p>
      </w:tc>
    </w:tr>
    <w:tr w:rsidR="003B1AB2" w:rsidRPr="008A7DB7" w14:paraId="76286A8D" w14:textId="77777777" w:rsidTr="008A7DB7">
      <w:trPr>
        <w:trHeight w:val="361"/>
      </w:trPr>
      <w:tc>
        <w:tcPr>
          <w:tcW w:w="9644" w:type="dxa"/>
          <w:shd w:val="clear" w:color="auto" w:fill="auto"/>
        </w:tcPr>
        <w:p w14:paraId="6E16A798" w14:textId="77777777" w:rsidR="003B1AB2" w:rsidRPr="008A7DB7" w:rsidRDefault="003B1AB2" w:rsidP="008A7DB7">
          <w:pPr>
            <w:pStyle w:val="textheader"/>
          </w:pPr>
        </w:p>
      </w:tc>
    </w:tr>
    <w:tr w:rsidR="003B1AB2" w:rsidRPr="008A7DB7" w14:paraId="37C870F8" w14:textId="77777777" w:rsidTr="008A7DB7">
      <w:trPr>
        <w:trHeight w:val="361"/>
      </w:trPr>
      <w:tc>
        <w:tcPr>
          <w:tcW w:w="9644" w:type="dxa"/>
          <w:shd w:val="clear" w:color="auto" w:fill="auto"/>
        </w:tcPr>
        <w:p w14:paraId="078C98A4" w14:textId="77777777" w:rsidR="003B1AB2" w:rsidRPr="008A7DB7" w:rsidRDefault="003B1AB2" w:rsidP="008A7DB7">
          <w:pPr>
            <w:pStyle w:val="textheader"/>
          </w:pPr>
        </w:p>
      </w:tc>
    </w:tr>
    <w:tr w:rsidR="003B1AB2" w:rsidRPr="008A7DB7" w14:paraId="3DC9E16C" w14:textId="77777777" w:rsidTr="008A7DB7">
      <w:trPr>
        <w:trHeight w:val="361"/>
      </w:trPr>
      <w:tc>
        <w:tcPr>
          <w:tcW w:w="9644" w:type="dxa"/>
          <w:shd w:val="clear" w:color="auto" w:fill="auto"/>
          <w:tcMar>
            <w:bottom w:w="142" w:type="dxa"/>
          </w:tcMar>
        </w:tcPr>
        <w:p w14:paraId="1FA2A613" w14:textId="77777777" w:rsidR="003B1AB2" w:rsidRPr="008A7DB7" w:rsidRDefault="003B1AB2" w:rsidP="006A737C">
          <w:pPr>
            <w:pStyle w:val="time"/>
            <w:framePr w:hSpace="0" w:vSpace="0" w:wrap="auto" w:vAnchor="margin" w:hAnchor="text" w:xAlign="left" w:yAlign="inline"/>
          </w:pPr>
        </w:p>
      </w:tc>
    </w:tr>
  </w:tbl>
  <w:p w14:paraId="04D9C0C2" w14:textId="77777777" w:rsidR="003B1AB2" w:rsidRDefault="003B1AB2">
    <w:pPr>
      <w:pStyle w:val="Header"/>
    </w:pPr>
    <w:r>
      <w:rPr>
        <w:noProof/>
        <w:lang w:val="fi-FI" w:eastAsia="fi-FI"/>
      </w:rPr>
      <w:drawing>
        <wp:anchor distT="0" distB="0" distL="114300" distR="114300" simplePos="0" relativeHeight="251656704" behindDoc="0" locked="1" layoutInCell="1" allowOverlap="1" wp14:anchorId="2F6DC7BC" wp14:editId="21945542">
          <wp:simplePos x="0" y="0"/>
          <wp:positionH relativeFrom="page">
            <wp:posOffset>4068445</wp:posOffset>
          </wp:positionH>
          <wp:positionV relativeFrom="page">
            <wp:posOffset>720090</wp:posOffset>
          </wp:positionV>
          <wp:extent cx="2930525" cy="382905"/>
          <wp:effectExtent l="0" t="0" r="0" b="0"/>
          <wp:wrapNone/>
          <wp:docPr id="4" name="Grafik 5"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0525" cy="382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3518"/>
    <w:multiLevelType w:val="hybridMultilevel"/>
    <w:tmpl w:val="06A0AC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10205B"/>
    <w:multiLevelType w:val="hybridMultilevel"/>
    <w:tmpl w:val="58F4F304"/>
    <w:lvl w:ilvl="0" w:tplc="04090017">
      <w:start w:val="1"/>
      <w:numFmt w:val="lowerLetter"/>
      <w:lvlText w:val="%1)"/>
      <w:lvlJc w:val="left"/>
      <w:pPr>
        <w:ind w:left="780" w:hanging="360"/>
      </w:pPr>
      <w:rPr>
        <w:rFonts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 w15:restartNumberingAfterBreak="0">
    <w:nsid w:val="0E4362D2"/>
    <w:multiLevelType w:val="hybridMultilevel"/>
    <w:tmpl w:val="A344136E"/>
    <w:lvl w:ilvl="0" w:tplc="040B0017">
      <w:start w:val="1"/>
      <w:numFmt w:val="lowerLetter"/>
      <w:lvlText w:val="%1)"/>
      <w:lvlJc w:val="left"/>
      <w:pPr>
        <w:ind w:left="1068" w:hanging="360"/>
      </w:pPr>
      <w:rPr>
        <w:rFonts w:hint="default"/>
      </w:rPr>
    </w:lvl>
    <w:lvl w:ilvl="1" w:tplc="15BC1FAA">
      <w:start w:val="1"/>
      <w:numFmt w:val="lowerRoman"/>
      <w:lvlText w:val="(%2)"/>
      <w:lvlJc w:val="left"/>
      <w:pPr>
        <w:ind w:left="2148" w:hanging="720"/>
      </w:pPr>
      <w:rPr>
        <w:rFonts w:hint="default"/>
      </w:r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02A6098"/>
    <w:multiLevelType w:val="hybridMultilevel"/>
    <w:tmpl w:val="3AA8CE18"/>
    <w:lvl w:ilvl="0" w:tplc="1820C230">
      <w:start w:val="1"/>
      <w:numFmt w:val="decimal"/>
      <w:lvlText w:val="(%1)"/>
      <w:lvlJc w:val="left"/>
      <w:pPr>
        <w:ind w:left="720" w:hanging="360"/>
      </w:pPr>
      <w:rPr>
        <w:rFonts w:hint="default"/>
        <w:b w:val="0"/>
        <w:i w:val="0"/>
      </w:rPr>
    </w:lvl>
    <w:lvl w:ilvl="1" w:tplc="041D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00D5B"/>
    <w:multiLevelType w:val="multilevel"/>
    <w:tmpl w:val="7228EA82"/>
    <w:lvl w:ilvl="0">
      <w:start w:val="1"/>
      <w:numFmt w:val="lowerLetter"/>
      <w:lvlText w:val="%1)"/>
      <w:lvlJc w:val="left"/>
      <w:pPr>
        <w:ind w:left="720" w:hanging="360"/>
      </w:pPr>
      <w:rPr>
        <w:b w:val="0"/>
      </w:rPr>
    </w:lvl>
    <w:lvl w:ilvl="1">
      <w:start w:val="1"/>
      <w:numFmt w:val="lowerRoman"/>
      <w:lvlText w:val="%2."/>
      <w:lvlJc w:val="righ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25AE4AA9"/>
    <w:multiLevelType w:val="hybridMultilevel"/>
    <w:tmpl w:val="FFE0F85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7" w15:restartNumberingAfterBreak="0">
    <w:nsid w:val="2E7923C0"/>
    <w:multiLevelType w:val="hybridMultilevel"/>
    <w:tmpl w:val="6EEA7444"/>
    <w:lvl w:ilvl="0" w:tplc="040B0017">
      <w:start w:val="1"/>
      <w:numFmt w:val="lowerLetter"/>
      <w:lvlText w:val="%1)"/>
      <w:lvlJc w:val="left"/>
      <w:pPr>
        <w:ind w:left="1068" w:hanging="360"/>
      </w:pPr>
      <w:rPr>
        <w:rFonts w:hint="default"/>
      </w:rPr>
    </w:lvl>
    <w:lvl w:ilvl="1" w:tplc="15BC1FAA">
      <w:start w:val="1"/>
      <w:numFmt w:val="lowerRoman"/>
      <w:lvlText w:val="(%2)"/>
      <w:lvlJc w:val="left"/>
      <w:pPr>
        <w:ind w:left="2148" w:hanging="720"/>
      </w:pPr>
      <w:rPr>
        <w:rFonts w:hint="default"/>
      </w:r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51A6947"/>
    <w:multiLevelType w:val="hybridMultilevel"/>
    <w:tmpl w:val="44C24C4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BF977FE"/>
    <w:multiLevelType w:val="hybridMultilevel"/>
    <w:tmpl w:val="8CBC7AEA"/>
    <w:lvl w:ilvl="0" w:tplc="0409000F">
      <w:start w:val="1"/>
      <w:numFmt w:val="decimal"/>
      <w:lvlText w:val="%1."/>
      <w:lvlJc w:val="left"/>
      <w:pPr>
        <w:ind w:left="717" w:hanging="360"/>
      </w:pPr>
      <w:rPr>
        <w:rFonts w:hint="default"/>
      </w:rPr>
    </w:lvl>
    <w:lvl w:ilvl="1" w:tplc="041D0019">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10" w15:restartNumberingAfterBreak="0">
    <w:nsid w:val="405115FF"/>
    <w:multiLevelType w:val="hybridMultilevel"/>
    <w:tmpl w:val="048A8D78"/>
    <w:lvl w:ilvl="0" w:tplc="72ACABAC">
      <w:start w:val="1"/>
      <w:numFmt w:val="decimal"/>
      <w:lvlText w:val="%1."/>
      <w:lvlJc w:val="left"/>
      <w:pPr>
        <w:ind w:left="36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71067FA"/>
    <w:multiLevelType w:val="hybridMultilevel"/>
    <w:tmpl w:val="90FCA7A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D5C78EE"/>
    <w:multiLevelType w:val="multilevel"/>
    <w:tmpl w:val="0E80C546"/>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442234C"/>
    <w:multiLevelType w:val="hybridMultilevel"/>
    <w:tmpl w:val="89003748"/>
    <w:lvl w:ilvl="0" w:tplc="0409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4084619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043038"/>
    <w:multiLevelType w:val="hybridMultilevel"/>
    <w:tmpl w:val="535ED1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15" w15:restartNumberingAfterBreak="0">
    <w:nsid w:val="5BAB6862"/>
    <w:multiLevelType w:val="hybridMultilevel"/>
    <w:tmpl w:val="967EC378"/>
    <w:lvl w:ilvl="0" w:tplc="040B0017">
      <w:start w:val="1"/>
      <w:numFmt w:val="lowerLetter"/>
      <w:lvlText w:val="%1)"/>
      <w:lvlJc w:val="left"/>
      <w:pPr>
        <w:ind w:left="1068" w:hanging="360"/>
      </w:pPr>
      <w:rPr>
        <w:rFonts w:hint="default"/>
      </w:rPr>
    </w:lvl>
    <w:lvl w:ilvl="1" w:tplc="04090017">
      <w:start w:val="1"/>
      <w:numFmt w:val="lowerLetter"/>
      <w:lvlText w:val="%2)"/>
      <w:lvlJc w:val="left"/>
      <w:pPr>
        <w:ind w:left="2148" w:hanging="360"/>
      </w:pPr>
    </w:lvl>
    <w:lvl w:ilvl="2" w:tplc="041D001B" w:tentative="1">
      <w:start w:val="1"/>
      <w:numFmt w:val="lowerRoman"/>
      <w:lvlText w:val="%3."/>
      <w:lvlJc w:val="right"/>
      <w:pPr>
        <w:ind w:left="2868" w:hanging="180"/>
      </w:pPr>
    </w:lvl>
    <w:lvl w:ilvl="3" w:tplc="041D000F" w:tentative="1">
      <w:start w:val="1"/>
      <w:numFmt w:val="decimal"/>
      <w:lvlText w:val="%4."/>
      <w:lvlJc w:val="left"/>
      <w:pPr>
        <w:ind w:left="3588" w:hanging="360"/>
      </w:pPr>
    </w:lvl>
    <w:lvl w:ilvl="4" w:tplc="041D0019" w:tentative="1">
      <w:start w:val="1"/>
      <w:numFmt w:val="lowerLetter"/>
      <w:lvlText w:val="%5."/>
      <w:lvlJc w:val="left"/>
      <w:pPr>
        <w:ind w:left="4308" w:hanging="360"/>
      </w:pPr>
    </w:lvl>
    <w:lvl w:ilvl="5" w:tplc="041D001B" w:tentative="1">
      <w:start w:val="1"/>
      <w:numFmt w:val="lowerRoman"/>
      <w:lvlText w:val="%6."/>
      <w:lvlJc w:val="right"/>
      <w:pPr>
        <w:ind w:left="5028" w:hanging="180"/>
      </w:pPr>
    </w:lvl>
    <w:lvl w:ilvl="6" w:tplc="041D000F" w:tentative="1">
      <w:start w:val="1"/>
      <w:numFmt w:val="decimal"/>
      <w:lvlText w:val="%7."/>
      <w:lvlJc w:val="left"/>
      <w:pPr>
        <w:ind w:left="5748" w:hanging="360"/>
      </w:pPr>
    </w:lvl>
    <w:lvl w:ilvl="7" w:tplc="041D0019" w:tentative="1">
      <w:start w:val="1"/>
      <w:numFmt w:val="lowerLetter"/>
      <w:lvlText w:val="%8."/>
      <w:lvlJc w:val="left"/>
      <w:pPr>
        <w:ind w:left="6468" w:hanging="360"/>
      </w:pPr>
    </w:lvl>
    <w:lvl w:ilvl="8" w:tplc="041D001B" w:tentative="1">
      <w:start w:val="1"/>
      <w:numFmt w:val="lowerRoman"/>
      <w:lvlText w:val="%9."/>
      <w:lvlJc w:val="right"/>
      <w:pPr>
        <w:ind w:left="7188" w:hanging="180"/>
      </w:pPr>
    </w:lvl>
  </w:abstractNum>
  <w:abstractNum w:abstractNumId="16" w15:restartNumberingAfterBreak="0">
    <w:nsid w:val="5D4A3354"/>
    <w:multiLevelType w:val="multilevel"/>
    <w:tmpl w:val="080C001F"/>
    <w:styleLink w:val="XXXList"/>
    <w:lvl w:ilvl="0">
      <w:start w:val="1"/>
      <w:numFmt w:val="decimal"/>
      <w:lvlText w:val="%1."/>
      <w:lvlJc w:val="left"/>
      <w:pPr>
        <w:ind w:left="360" w:hanging="360"/>
      </w:pPr>
      <w:rPr>
        <w:rFonts w:hint="default"/>
        <w:b/>
        <w:i w:val="0"/>
        <w:color w:val="23236E"/>
        <w:sz w:val="28"/>
        <w:u w:color="23236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sz w:val="28"/>
        <w:u w:color="23236E"/>
      </w:rPr>
    </w:lvl>
  </w:abstractNum>
  <w:abstractNum w:abstractNumId="17" w15:restartNumberingAfterBreak="0">
    <w:nsid w:val="5DE305AC"/>
    <w:multiLevelType w:val="hybridMultilevel"/>
    <w:tmpl w:val="6D6E8FDC"/>
    <w:lvl w:ilvl="0" w:tplc="040B000F">
      <w:start w:val="1"/>
      <w:numFmt w:val="decimal"/>
      <w:lvlText w:val="%1."/>
      <w:lvlJc w:val="left"/>
      <w:pPr>
        <w:ind w:left="360" w:hanging="360"/>
      </w:pPr>
    </w:lvl>
    <w:lvl w:ilvl="1" w:tplc="040B0017">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64F67A05"/>
    <w:multiLevelType w:val="hybridMultilevel"/>
    <w:tmpl w:val="8CBC7AEA"/>
    <w:lvl w:ilvl="0" w:tplc="0409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8DB6311"/>
    <w:multiLevelType w:val="hybridMultilevel"/>
    <w:tmpl w:val="9940D66A"/>
    <w:lvl w:ilvl="0" w:tplc="72ACABAC">
      <w:start w:val="1"/>
      <w:numFmt w:val="decimal"/>
      <w:lvlText w:val="%1."/>
      <w:lvlJc w:val="left"/>
      <w:pPr>
        <w:ind w:left="360" w:hanging="360"/>
      </w:pPr>
      <w:rPr>
        <w:rFonts w:hint="default"/>
      </w:rPr>
    </w:lvl>
    <w:lvl w:ilvl="1" w:tplc="0409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3681F69"/>
    <w:multiLevelType w:val="hybridMultilevel"/>
    <w:tmpl w:val="79BA76EA"/>
    <w:lvl w:ilvl="0" w:tplc="0410000F">
      <w:start w:val="1"/>
      <w:numFmt w:val="decimal"/>
      <w:lvlText w:val="%1."/>
      <w:lvlJc w:val="left"/>
      <w:pPr>
        <w:ind w:left="360" w:hanging="360"/>
      </w:pPr>
    </w:lvl>
    <w:lvl w:ilvl="1" w:tplc="277E801A">
      <w:start w:val="1"/>
      <w:numFmt w:val="lowerLetter"/>
      <w:lvlText w:val="(%2)"/>
      <w:lvlJc w:val="left"/>
      <w:pPr>
        <w:ind w:left="1080" w:hanging="360"/>
      </w:pPr>
      <w:rPr>
        <w:rFonts w:hint="default"/>
        <w:sz w:val="18"/>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74BA5F6D"/>
    <w:multiLevelType w:val="hybridMultilevel"/>
    <w:tmpl w:val="BD9207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6"/>
  </w:num>
  <w:num w:numId="2">
    <w:abstractNumId w:val="18"/>
  </w:num>
  <w:num w:numId="3">
    <w:abstractNumId w:val="12"/>
  </w:num>
  <w:num w:numId="4">
    <w:abstractNumId w:val="6"/>
  </w:num>
  <w:num w:numId="5">
    <w:abstractNumId w:val="3"/>
  </w:num>
  <w:num w:numId="6">
    <w:abstractNumId w:val="14"/>
  </w:num>
  <w:num w:numId="7">
    <w:abstractNumId w:val="8"/>
  </w:num>
  <w:num w:numId="8">
    <w:abstractNumId w:val="0"/>
  </w:num>
  <w:num w:numId="9">
    <w:abstractNumId w:val="10"/>
  </w:num>
  <w:num w:numId="10">
    <w:abstractNumId w:val="13"/>
  </w:num>
  <w:num w:numId="11">
    <w:abstractNumId w:val="20"/>
  </w:num>
  <w:num w:numId="12">
    <w:abstractNumId w:val="19"/>
  </w:num>
  <w:num w:numId="13">
    <w:abstractNumId w:val="4"/>
  </w:num>
  <w:num w:numId="14">
    <w:abstractNumId w:val="15"/>
  </w:num>
  <w:num w:numId="15">
    <w:abstractNumId w:val="5"/>
  </w:num>
  <w:num w:numId="16">
    <w:abstractNumId w:val="17"/>
  </w:num>
  <w:num w:numId="17">
    <w:abstractNumId w:val="22"/>
  </w:num>
  <w:num w:numId="18">
    <w:abstractNumId w:val="21"/>
  </w:num>
  <w:num w:numId="19">
    <w:abstractNumId w:val="11"/>
  </w:num>
  <w:num w:numId="20">
    <w:abstractNumId w:val="2"/>
  </w:num>
  <w:num w:numId="21">
    <w:abstractNumId w:val="7"/>
  </w:num>
  <w:num w:numId="22">
    <w:abstractNumId w:val="9"/>
  </w:num>
  <w:num w:numId="2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nb-NO" w:vendorID="64" w:dllVersion="0" w:nlCheck="1" w:checkStyle="0"/>
  <w:activeWritingStyle w:appName="MSWord" w:lang="nb-NO" w:vendorID="64" w:dllVersion="6" w:nlCheck="1" w:checkStyle="0"/>
  <w:attachedTemplate r:id="rId1"/>
  <w:defaultTabStop w:val="708"/>
  <w:hyphenationZone w:val="425"/>
  <w:drawingGridHorizontalSpacing w:val="110"/>
  <w:displayHorizontalDrawingGridEvery w:val="2"/>
  <w:characterSpacingControl w:val="doNotCompress"/>
  <w:hdrShapeDefaults>
    <o:shapedefaults v:ext="edit" spidmax="2049"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07"/>
    <w:rsid w:val="00000249"/>
    <w:rsid w:val="0000036D"/>
    <w:rsid w:val="000005BD"/>
    <w:rsid w:val="0000065C"/>
    <w:rsid w:val="00006873"/>
    <w:rsid w:val="000118B0"/>
    <w:rsid w:val="00014020"/>
    <w:rsid w:val="00014FE4"/>
    <w:rsid w:val="00014FF7"/>
    <w:rsid w:val="00015488"/>
    <w:rsid w:val="000173D6"/>
    <w:rsid w:val="00022258"/>
    <w:rsid w:val="000235E9"/>
    <w:rsid w:val="00023C94"/>
    <w:rsid w:val="00023DFF"/>
    <w:rsid w:val="00027B57"/>
    <w:rsid w:val="00030180"/>
    <w:rsid w:val="00032582"/>
    <w:rsid w:val="0003392C"/>
    <w:rsid w:val="00034287"/>
    <w:rsid w:val="000343BD"/>
    <w:rsid w:val="000357A0"/>
    <w:rsid w:val="00035A65"/>
    <w:rsid w:val="00035E73"/>
    <w:rsid w:val="00036F87"/>
    <w:rsid w:val="000374B3"/>
    <w:rsid w:val="00042115"/>
    <w:rsid w:val="0004295B"/>
    <w:rsid w:val="00042D86"/>
    <w:rsid w:val="000456FB"/>
    <w:rsid w:val="00046D0D"/>
    <w:rsid w:val="00046FC1"/>
    <w:rsid w:val="00047EA0"/>
    <w:rsid w:val="000508B7"/>
    <w:rsid w:val="00054050"/>
    <w:rsid w:val="00054094"/>
    <w:rsid w:val="00054A08"/>
    <w:rsid w:val="0005689C"/>
    <w:rsid w:val="00062E48"/>
    <w:rsid w:val="000640E2"/>
    <w:rsid w:val="0006467A"/>
    <w:rsid w:val="0007274E"/>
    <w:rsid w:val="000735DF"/>
    <w:rsid w:val="000763F9"/>
    <w:rsid w:val="000777FE"/>
    <w:rsid w:val="00083F22"/>
    <w:rsid w:val="00085222"/>
    <w:rsid w:val="00087731"/>
    <w:rsid w:val="000877E3"/>
    <w:rsid w:val="00092C31"/>
    <w:rsid w:val="0009375D"/>
    <w:rsid w:val="0009502C"/>
    <w:rsid w:val="00095B96"/>
    <w:rsid w:val="000961F8"/>
    <w:rsid w:val="00096EC5"/>
    <w:rsid w:val="000A0308"/>
    <w:rsid w:val="000A11C8"/>
    <w:rsid w:val="000A3BA9"/>
    <w:rsid w:val="000A3FB8"/>
    <w:rsid w:val="000A45F7"/>
    <w:rsid w:val="000A7F43"/>
    <w:rsid w:val="000B23F1"/>
    <w:rsid w:val="000B2D2E"/>
    <w:rsid w:val="000B5F21"/>
    <w:rsid w:val="000B6FE2"/>
    <w:rsid w:val="000C02AA"/>
    <w:rsid w:val="000C081E"/>
    <w:rsid w:val="000C12C7"/>
    <w:rsid w:val="000C3F58"/>
    <w:rsid w:val="000C4633"/>
    <w:rsid w:val="000C50C7"/>
    <w:rsid w:val="000C5F91"/>
    <w:rsid w:val="000C777B"/>
    <w:rsid w:val="000C7A75"/>
    <w:rsid w:val="000C7C34"/>
    <w:rsid w:val="000D1A83"/>
    <w:rsid w:val="000D2604"/>
    <w:rsid w:val="000D360E"/>
    <w:rsid w:val="000D3931"/>
    <w:rsid w:val="000D4815"/>
    <w:rsid w:val="000D6CF2"/>
    <w:rsid w:val="000D6DDD"/>
    <w:rsid w:val="000D7AA3"/>
    <w:rsid w:val="000E0873"/>
    <w:rsid w:val="000E1535"/>
    <w:rsid w:val="000E1BB6"/>
    <w:rsid w:val="000E1F0F"/>
    <w:rsid w:val="000E268A"/>
    <w:rsid w:val="000E32FA"/>
    <w:rsid w:val="000E3D7E"/>
    <w:rsid w:val="000E41B2"/>
    <w:rsid w:val="000E4CD5"/>
    <w:rsid w:val="000E5E19"/>
    <w:rsid w:val="000E7214"/>
    <w:rsid w:val="000F0261"/>
    <w:rsid w:val="000F0523"/>
    <w:rsid w:val="000F0E82"/>
    <w:rsid w:val="000F105D"/>
    <w:rsid w:val="000F1606"/>
    <w:rsid w:val="000F1D46"/>
    <w:rsid w:val="000F1F21"/>
    <w:rsid w:val="000F2416"/>
    <w:rsid w:val="000F2642"/>
    <w:rsid w:val="000F2853"/>
    <w:rsid w:val="000F35C3"/>
    <w:rsid w:val="000F415F"/>
    <w:rsid w:val="000F45F8"/>
    <w:rsid w:val="000F51E7"/>
    <w:rsid w:val="000F5893"/>
    <w:rsid w:val="000F60CD"/>
    <w:rsid w:val="000F693C"/>
    <w:rsid w:val="0010092F"/>
    <w:rsid w:val="00101744"/>
    <w:rsid w:val="00101814"/>
    <w:rsid w:val="00102A02"/>
    <w:rsid w:val="00102C27"/>
    <w:rsid w:val="0010511E"/>
    <w:rsid w:val="00107537"/>
    <w:rsid w:val="001078C2"/>
    <w:rsid w:val="00107A15"/>
    <w:rsid w:val="00112014"/>
    <w:rsid w:val="00112580"/>
    <w:rsid w:val="00113784"/>
    <w:rsid w:val="0011449E"/>
    <w:rsid w:val="001170AF"/>
    <w:rsid w:val="0012001C"/>
    <w:rsid w:val="00120464"/>
    <w:rsid w:val="00121263"/>
    <w:rsid w:val="001220EC"/>
    <w:rsid w:val="00122521"/>
    <w:rsid w:val="00122F33"/>
    <w:rsid w:val="001246DB"/>
    <w:rsid w:val="00125519"/>
    <w:rsid w:val="00126FE1"/>
    <w:rsid w:val="001300F2"/>
    <w:rsid w:val="00131904"/>
    <w:rsid w:val="00134518"/>
    <w:rsid w:val="00135071"/>
    <w:rsid w:val="00137D58"/>
    <w:rsid w:val="001430D1"/>
    <w:rsid w:val="0014540D"/>
    <w:rsid w:val="00151B4A"/>
    <w:rsid w:val="00151D7B"/>
    <w:rsid w:val="001523D0"/>
    <w:rsid w:val="00152CAE"/>
    <w:rsid w:val="00153331"/>
    <w:rsid w:val="001540CD"/>
    <w:rsid w:val="00154A13"/>
    <w:rsid w:val="001608DF"/>
    <w:rsid w:val="00161CD5"/>
    <w:rsid w:val="00162B68"/>
    <w:rsid w:val="001636B3"/>
    <w:rsid w:val="00165FDE"/>
    <w:rsid w:val="001675C6"/>
    <w:rsid w:val="00170027"/>
    <w:rsid w:val="0017012E"/>
    <w:rsid w:val="00170530"/>
    <w:rsid w:val="0017070B"/>
    <w:rsid w:val="001707FB"/>
    <w:rsid w:val="00170F1D"/>
    <w:rsid w:val="0017246B"/>
    <w:rsid w:val="00175575"/>
    <w:rsid w:val="0017727B"/>
    <w:rsid w:val="001777B0"/>
    <w:rsid w:val="0017795F"/>
    <w:rsid w:val="001779B1"/>
    <w:rsid w:val="001827D8"/>
    <w:rsid w:val="00182A4D"/>
    <w:rsid w:val="0018322B"/>
    <w:rsid w:val="0018401D"/>
    <w:rsid w:val="001853A1"/>
    <w:rsid w:val="0018540A"/>
    <w:rsid w:val="00185446"/>
    <w:rsid w:val="00186689"/>
    <w:rsid w:val="00186BD1"/>
    <w:rsid w:val="00186C7D"/>
    <w:rsid w:val="0018757E"/>
    <w:rsid w:val="00187BB9"/>
    <w:rsid w:val="0019031B"/>
    <w:rsid w:val="0019158C"/>
    <w:rsid w:val="00192CAF"/>
    <w:rsid w:val="001933F1"/>
    <w:rsid w:val="001939B9"/>
    <w:rsid w:val="00194D05"/>
    <w:rsid w:val="00196528"/>
    <w:rsid w:val="00197F68"/>
    <w:rsid w:val="001A1787"/>
    <w:rsid w:val="001A1BB5"/>
    <w:rsid w:val="001A45BB"/>
    <w:rsid w:val="001A51C2"/>
    <w:rsid w:val="001A55A2"/>
    <w:rsid w:val="001A666C"/>
    <w:rsid w:val="001B1D50"/>
    <w:rsid w:val="001B28F7"/>
    <w:rsid w:val="001B2EB0"/>
    <w:rsid w:val="001B35ED"/>
    <w:rsid w:val="001B3A9B"/>
    <w:rsid w:val="001B4C4A"/>
    <w:rsid w:val="001B57E7"/>
    <w:rsid w:val="001B5E44"/>
    <w:rsid w:val="001B79E6"/>
    <w:rsid w:val="001B7C05"/>
    <w:rsid w:val="001B7FF5"/>
    <w:rsid w:val="001C02BD"/>
    <w:rsid w:val="001C064F"/>
    <w:rsid w:val="001C09F9"/>
    <w:rsid w:val="001C238F"/>
    <w:rsid w:val="001C268D"/>
    <w:rsid w:val="001C2ED2"/>
    <w:rsid w:val="001C3427"/>
    <w:rsid w:val="001C57C3"/>
    <w:rsid w:val="001C72A5"/>
    <w:rsid w:val="001D03F1"/>
    <w:rsid w:val="001D0606"/>
    <w:rsid w:val="001D09BB"/>
    <w:rsid w:val="001D14A3"/>
    <w:rsid w:val="001D178A"/>
    <w:rsid w:val="001D332A"/>
    <w:rsid w:val="001D36E3"/>
    <w:rsid w:val="001D42AD"/>
    <w:rsid w:val="001D46C2"/>
    <w:rsid w:val="001D5175"/>
    <w:rsid w:val="001D56D4"/>
    <w:rsid w:val="001D61D3"/>
    <w:rsid w:val="001D713B"/>
    <w:rsid w:val="001E07F1"/>
    <w:rsid w:val="001E0D37"/>
    <w:rsid w:val="001E1834"/>
    <w:rsid w:val="001E1ECD"/>
    <w:rsid w:val="001E2BE0"/>
    <w:rsid w:val="001E55C0"/>
    <w:rsid w:val="001E5F7C"/>
    <w:rsid w:val="001E6652"/>
    <w:rsid w:val="001E6868"/>
    <w:rsid w:val="001F098D"/>
    <w:rsid w:val="001F09FA"/>
    <w:rsid w:val="001F0B88"/>
    <w:rsid w:val="001F15BE"/>
    <w:rsid w:val="001F28B9"/>
    <w:rsid w:val="001F5DBD"/>
    <w:rsid w:val="001F6742"/>
    <w:rsid w:val="001F68A5"/>
    <w:rsid w:val="001F6D8C"/>
    <w:rsid w:val="001F79E4"/>
    <w:rsid w:val="002002F8"/>
    <w:rsid w:val="002006EC"/>
    <w:rsid w:val="00200CE7"/>
    <w:rsid w:val="00201207"/>
    <w:rsid w:val="002021B1"/>
    <w:rsid w:val="00206F70"/>
    <w:rsid w:val="0021164E"/>
    <w:rsid w:val="00211914"/>
    <w:rsid w:val="00212C9B"/>
    <w:rsid w:val="002140A5"/>
    <w:rsid w:val="00214558"/>
    <w:rsid w:val="00214D3E"/>
    <w:rsid w:val="00216130"/>
    <w:rsid w:val="00216EE9"/>
    <w:rsid w:val="00217363"/>
    <w:rsid w:val="002176AF"/>
    <w:rsid w:val="002176C2"/>
    <w:rsid w:val="00220937"/>
    <w:rsid w:val="00220B96"/>
    <w:rsid w:val="002215F2"/>
    <w:rsid w:val="00221FC8"/>
    <w:rsid w:val="0022263A"/>
    <w:rsid w:val="00223F13"/>
    <w:rsid w:val="00226DB3"/>
    <w:rsid w:val="00226F12"/>
    <w:rsid w:val="00227467"/>
    <w:rsid w:val="002275CF"/>
    <w:rsid w:val="00231F6C"/>
    <w:rsid w:val="00232928"/>
    <w:rsid w:val="002332FB"/>
    <w:rsid w:val="002334A2"/>
    <w:rsid w:val="00237F76"/>
    <w:rsid w:val="0024169C"/>
    <w:rsid w:val="002436FB"/>
    <w:rsid w:val="00244559"/>
    <w:rsid w:val="0024557D"/>
    <w:rsid w:val="00247449"/>
    <w:rsid w:val="00250379"/>
    <w:rsid w:val="00251EBB"/>
    <w:rsid w:val="002522CF"/>
    <w:rsid w:val="00252CF4"/>
    <w:rsid w:val="0025399D"/>
    <w:rsid w:val="00255697"/>
    <w:rsid w:val="002608BE"/>
    <w:rsid w:val="00260E54"/>
    <w:rsid w:val="002624B9"/>
    <w:rsid w:val="002628DE"/>
    <w:rsid w:val="00263F7A"/>
    <w:rsid w:val="002659CD"/>
    <w:rsid w:val="00266360"/>
    <w:rsid w:val="00267C32"/>
    <w:rsid w:val="00267E06"/>
    <w:rsid w:val="00267EAD"/>
    <w:rsid w:val="00267FB2"/>
    <w:rsid w:val="002704D4"/>
    <w:rsid w:val="002704F3"/>
    <w:rsid w:val="0027088B"/>
    <w:rsid w:val="002708A3"/>
    <w:rsid w:val="0027466F"/>
    <w:rsid w:val="002748F5"/>
    <w:rsid w:val="0027521B"/>
    <w:rsid w:val="002752A9"/>
    <w:rsid w:val="002766B2"/>
    <w:rsid w:val="00277F1E"/>
    <w:rsid w:val="00280367"/>
    <w:rsid w:val="002806A0"/>
    <w:rsid w:val="002811AE"/>
    <w:rsid w:val="0028389C"/>
    <w:rsid w:val="00284174"/>
    <w:rsid w:val="00284AB5"/>
    <w:rsid w:val="00285B00"/>
    <w:rsid w:val="00286BE7"/>
    <w:rsid w:val="00290620"/>
    <w:rsid w:val="002934D5"/>
    <w:rsid w:val="00294B4E"/>
    <w:rsid w:val="00294F1F"/>
    <w:rsid w:val="00295AA0"/>
    <w:rsid w:val="002964F8"/>
    <w:rsid w:val="00296D01"/>
    <w:rsid w:val="002973C4"/>
    <w:rsid w:val="002A0B1C"/>
    <w:rsid w:val="002A28E6"/>
    <w:rsid w:val="002A3E99"/>
    <w:rsid w:val="002A4598"/>
    <w:rsid w:val="002A5603"/>
    <w:rsid w:val="002A7432"/>
    <w:rsid w:val="002A7EA8"/>
    <w:rsid w:val="002B040F"/>
    <w:rsid w:val="002B14B8"/>
    <w:rsid w:val="002B2A81"/>
    <w:rsid w:val="002B3E8A"/>
    <w:rsid w:val="002B4BA0"/>
    <w:rsid w:val="002B4BF6"/>
    <w:rsid w:val="002B70B4"/>
    <w:rsid w:val="002C00E4"/>
    <w:rsid w:val="002C01CE"/>
    <w:rsid w:val="002C4DC9"/>
    <w:rsid w:val="002C54AF"/>
    <w:rsid w:val="002C58A2"/>
    <w:rsid w:val="002C5932"/>
    <w:rsid w:val="002C5F0B"/>
    <w:rsid w:val="002C64DA"/>
    <w:rsid w:val="002D0372"/>
    <w:rsid w:val="002D10E8"/>
    <w:rsid w:val="002D27B4"/>
    <w:rsid w:val="002D2A1B"/>
    <w:rsid w:val="002D322B"/>
    <w:rsid w:val="002D47C5"/>
    <w:rsid w:val="002D6AE2"/>
    <w:rsid w:val="002D7546"/>
    <w:rsid w:val="002E1684"/>
    <w:rsid w:val="002E189A"/>
    <w:rsid w:val="002E189E"/>
    <w:rsid w:val="002E3E67"/>
    <w:rsid w:val="002E470A"/>
    <w:rsid w:val="002E4F8E"/>
    <w:rsid w:val="002E537D"/>
    <w:rsid w:val="002E5CE0"/>
    <w:rsid w:val="002F0DD7"/>
    <w:rsid w:val="002F3569"/>
    <w:rsid w:val="002F3CEC"/>
    <w:rsid w:val="002F5EFD"/>
    <w:rsid w:val="002F5F91"/>
    <w:rsid w:val="002F664C"/>
    <w:rsid w:val="002F6B92"/>
    <w:rsid w:val="002F6F02"/>
    <w:rsid w:val="003000B2"/>
    <w:rsid w:val="003005E6"/>
    <w:rsid w:val="0030366B"/>
    <w:rsid w:val="003037F3"/>
    <w:rsid w:val="003046BE"/>
    <w:rsid w:val="00306BB5"/>
    <w:rsid w:val="003104C9"/>
    <w:rsid w:val="00312018"/>
    <w:rsid w:val="003128FE"/>
    <w:rsid w:val="00312961"/>
    <w:rsid w:val="00312ABB"/>
    <w:rsid w:val="003130C8"/>
    <w:rsid w:val="00314815"/>
    <w:rsid w:val="003164E8"/>
    <w:rsid w:val="0031773D"/>
    <w:rsid w:val="0032132C"/>
    <w:rsid w:val="00321683"/>
    <w:rsid w:val="0032180B"/>
    <w:rsid w:val="00323886"/>
    <w:rsid w:val="00323DF2"/>
    <w:rsid w:val="003245B1"/>
    <w:rsid w:val="00324987"/>
    <w:rsid w:val="00325452"/>
    <w:rsid w:val="003260E6"/>
    <w:rsid w:val="0032618D"/>
    <w:rsid w:val="0032652F"/>
    <w:rsid w:val="003274A2"/>
    <w:rsid w:val="00330B78"/>
    <w:rsid w:val="003314D0"/>
    <w:rsid w:val="003376BC"/>
    <w:rsid w:val="0033783F"/>
    <w:rsid w:val="00337FDE"/>
    <w:rsid w:val="00343087"/>
    <w:rsid w:val="00344367"/>
    <w:rsid w:val="00344413"/>
    <w:rsid w:val="003444D4"/>
    <w:rsid w:val="00344AD2"/>
    <w:rsid w:val="0034552F"/>
    <w:rsid w:val="00345F7E"/>
    <w:rsid w:val="00350EBE"/>
    <w:rsid w:val="0035486E"/>
    <w:rsid w:val="0035489F"/>
    <w:rsid w:val="003555E4"/>
    <w:rsid w:val="00357001"/>
    <w:rsid w:val="0035703A"/>
    <w:rsid w:val="003610B2"/>
    <w:rsid w:val="003633CF"/>
    <w:rsid w:val="003636D0"/>
    <w:rsid w:val="00365C79"/>
    <w:rsid w:val="003662AB"/>
    <w:rsid w:val="00367938"/>
    <w:rsid w:val="0037079F"/>
    <w:rsid w:val="0037308F"/>
    <w:rsid w:val="00376358"/>
    <w:rsid w:val="003765C1"/>
    <w:rsid w:val="0037679A"/>
    <w:rsid w:val="00376DCF"/>
    <w:rsid w:val="00380111"/>
    <w:rsid w:val="00382253"/>
    <w:rsid w:val="00383D78"/>
    <w:rsid w:val="00383F69"/>
    <w:rsid w:val="00384415"/>
    <w:rsid w:val="00384CCF"/>
    <w:rsid w:val="0038669D"/>
    <w:rsid w:val="003907F7"/>
    <w:rsid w:val="00390C22"/>
    <w:rsid w:val="00390DE4"/>
    <w:rsid w:val="003911EE"/>
    <w:rsid w:val="00392E34"/>
    <w:rsid w:val="003A1715"/>
    <w:rsid w:val="003A260E"/>
    <w:rsid w:val="003A365D"/>
    <w:rsid w:val="003A50DB"/>
    <w:rsid w:val="003B012B"/>
    <w:rsid w:val="003B18D1"/>
    <w:rsid w:val="003B1AB2"/>
    <w:rsid w:val="003B247C"/>
    <w:rsid w:val="003B3054"/>
    <w:rsid w:val="003B495F"/>
    <w:rsid w:val="003C0C0A"/>
    <w:rsid w:val="003C245E"/>
    <w:rsid w:val="003C2DF1"/>
    <w:rsid w:val="003C66B3"/>
    <w:rsid w:val="003C6E2F"/>
    <w:rsid w:val="003C712A"/>
    <w:rsid w:val="003D0366"/>
    <w:rsid w:val="003D0965"/>
    <w:rsid w:val="003D0B4D"/>
    <w:rsid w:val="003D0E89"/>
    <w:rsid w:val="003D10E1"/>
    <w:rsid w:val="003D16BD"/>
    <w:rsid w:val="003D172F"/>
    <w:rsid w:val="003D3585"/>
    <w:rsid w:val="003D5000"/>
    <w:rsid w:val="003D74BA"/>
    <w:rsid w:val="003D7C54"/>
    <w:rsid w:val="003E01C0"/>
    <w:rsid w:val="003E170C"/>
    <w:rsid w:val="003E4407"/>
    <w:rsid w:val="003E58CE"/>
    <w:rsid w:val="003E5DC3"/>
    <w:rsid w:val="003E6136"/>
    <w:rsid w:val="003E6314"/>
    <w:rsid w:val="003E65CC"/>
    <w:rsid w:val="003E72D6"/>
    <w:rsid w:val="003E7350"/>
    <w:rsid w:val="003F1004"/>
    <w:rsid w:val="003F1C9E"/>
    <w:rsid w:val="003F4045"/>
    <w:rsid w:val="003F5417"/>
    <w:rsid w:val="003F55AB"/>
    <w:rsid w:val="003F5855"/>
    <w:rsid w:val="003F771F"/>
    <w:rsid w:val="003F7AC2"/>
    <w:rsid w:val="00401C2B"/>
    <w:rsid w:val="004038AE"/>
    <w:rsid w:val="00405A4F"/>
    <w:rsid w:val="00406E7E"/>
    <w:rsid w:val="004103DA"/>
    <w:rsid w:val="004104D9"/>
    <w:rsid w:val="00410A3C"/>
    <w:rsid w:val="00412B54"/>
    <w:rsid w:val="00415136"/>
    <w:rsid w:val="004153EC"/>
    <w:rsid w:val="00415A76"/>
    <w:rsid w:val="00415FFF"/>
    <w:rsid w:val="004161FC"/>
    <w:rsid w:val="00417FC2"/>
    <w:rsid w:val="004206A6"/>
    <w:rsid w:val="00422502"/>
    <w:rsid w:val="00423C51"/>
    <w:rsid w:val="00424E73"/>
    <w:rsid w:val="004250D3"/>
    <w:rsid w:val="00426632"/>
    <w:rsid w:val="00426FF1"/>
    <w:rsid w:val="00430C89"/>
    <w:rsid w:val="00432721"/>
    <w:rsid w:val="004347A1"/>
    <w:rsid w:val="0043549B"/>
    <w:rsid w:val="00436525"/>
    <w:rsid w:val="00436631"/>
    <w:rsid w:val="00436908"/>
    <w:rsid w:val="00440FF6"/>
    <w:rsid w:val="00441080"/>
    <w:rsid w:val="00441E84"/>
    <w:rsid w:val="00442D45"/>
    <w:rsid w:val="0044521E"/>
    <w:rsid w:val="00447ED3"/>
    <w:rsid w:val="00447F71"/>
    <w:rsid w:val="004517B1"/>
    <w:rsid w:val="0045209B"/>
    <w:rsid w:val="00455A91"/>
    <w:rsid w:val="00456041"/>
    <w:rsid w:val="00460996"/>
    <w:rsid w:val="0046340C"/>
    <w:rsid w:val="004635E3"/>
    <w:rsid w:val="00463B67"/>
    <w:rsid w:val="00463D90"/>
    <w:rsid w:val="00465162"/>
    <w:rsid w:val="00465953"/>
    <w:rsid w:val="0046797F"/>
    <w:rsid w:val="0047343B"/>
    <w:rsid w:val="00473949"/>
    <w:rsid w:val="004743E1"/>
    <w:rsid w:val="00474E1F"/>
    <w:rsid w:val="00475A98"/>
    <w:rsid w:val="00476125"/>
    <w:rsid w:val="004761AD"/>
    <w:rsid w:val="00477CB8"/>
    <w:rsid w:val="0048174C"/>
    <w:rsid w:val="00481ADA"/>
    <w:rsid w:val="00481F16"/>
    <w:rsid w:val="004836D0"/>
    <w:rsid w:val="0048389E"/>
    <w:rsid w:val="004857D1"/>
    <w:rsid w:val="00487C76"/>
    <w:rsid w:val="00490D92"/>
    <w:rsid w:val="00490FA9"/>
    <w:rsid w:val="00492089"/>
    <w:rsid w:val="00492466"/>
    <w:rsid w:val="00494030"/>
    <w:rsid w:val="00496106"/>
    <w:rsid w:val="0049784F"/>
    <w:rsid w:val="00497A89"/>
    <w:rsid w:val="004A095A"/>
    <w:rsid w:val="004A39B6"/>
    <w:rsid w:val="004A675F"/>
    <w:rsid w:val="004B19B0"/>
    <w:rsid w:val="004B42F2"/>
    <w:rsid w:val="004B6993"/>
    <w:rsid w:val="004B7B56"/>
    <w:rsid w:val="004C2BA4"/>
    <w:rsid w:val="004C378A"/>
    <w:rsid w:val="004C3B9C"/>
    <w:rsid w:val="004C471E"/>
    <w:rsid w:val="004C57FB"/>
    <w:rsid w:val="004C5B3B"/>
    <w:rsid w:val="004C769A"/>
    <w:rsid w:val="004D161F"/>
    <w:rsid w:val="004D201F"/>
    <w:rsid w:val="004D22E4"/>
    <w:rsid w:val="004D38BE"/>
    <w:rsid w:val="004D3B71"/>
    <w:rsid w:val="004D47E6"/>
    <w:rsid w:val="004D50A7"/>
    <w:rsid w:val="004D57EE"/>
    <w:rsid w:val="004D787A"/>
    <w:rsid w:val="004E11FA"/>
    <w:rsid w:val="004E6E8C"/>
    <w:rsid w:val="004E784D"/>
    <w:rsid w:val="004E7FAE"/>
    <w:rsid w:val="004F0DBB"/>
    <w:rsid w:val="004F1D1D"/>
    <w:rsid w:val="004F2CE6"/>
    <w:rsid w:val="004F490B"/>
    <w:rsid w:val="004F4991"/>
    <w:rsid w:val="004F5A1B"/>
    <w:rsid w:val="004F732A"/>
    <w:rsid w:val="00500215"/>
    <w:rsid w:val="00502668"/>
    <w:rsid w:val="00504A30"/>
    <w:rsid w:val="00505AA3"/>
    <w:rsid w:val="00507160"/>
    <w:rsid w:val="00510F1E"/>
    <w:rsid w:val="005115E8"/>
    <w:rsid w:val="00512C27"/>
    <w:rsid w:val="00512EAD"/>
    <w:rsid w:val="005134CA"/>
    <w:rsid w:val="00513B6C"/>
    <w:rsid w:val="00514527"/>
    <w:rsid w:val="00514820"/>
    <w:rsid w:val="00514C5F"/>
    <w:rsid w:val="00517632"/>
    <w:rsid w:val="005234C9"/>
    <w:rsid w:val="0052357A"/>
    <w:rsid w:val="00523A83"/>
    <w:rsid w:val="00524E8F"/>
    <w:rsid w:val="005256C4"/>
    <w:rsid w:val="00526041"/>
    <w:rsid w:val="0053167F"/>
    <w:rsid w:val="00532172"/>
    <w:rsid w:val="0053286E"/>
    <w:rsid w:val="00534D81"/>
    <w:rsid w:val="00536822"/>
    <w:rsid w:val="00540221"/>
    <w:rsid w:val="005407D8"/>
    <w:rsid w:val="00542A73"/>
    <w:rsid w:val="00546950"/>
    <w:rsid w:val="00547043"/>
    <w:rsid w:val="005473E2"/>
    <w:rsid w:val="0054787D"/>
    <w:rsid w:val="00552C72"/>
    <w:rsid w:val="00553000"/>
    <w:rsid w:val="00553FC0"/>
    <w:rsid w:val="00554D8B"/>
    <w:rsid w:val="00556EF6"/>
    <w:rsid w:val="005578B4"/>
    <w:rsid w:val="00557D8E"/>
    <w:rsid w:val="00557FBF"/>
    <w:rsid w:val="00560761"/>
    <w:rsid w:val="0056114B"/>
    <w:rsid w:val="00562A4D"/>
    <w:rsid w:val="005634C2"/>
    <w:rsid w:val="00570B83"/>
    <w:rsid w:val="00571AAD"/>
    <w:rsid w:val="00572069"/>
    <w:rsid w:val="00572D40"/>
    <w:rsid w:val="00573840"/>
    <w:rsid w:val="00573C25"/>
    <w:rsid w:val="005742E2"/>
    <w:rsid w:val="0057459E"/>
    <w:rsid w:val="00575101"/>
    <w:rsid w:val="00575177"/>
    <w:rsid w:val="00576E3D"/>
    <w:rsid w:val="005770F9"/>
    <w:rsid w:val="005803AB"/>
    <w:rsid w:val="005815EC"/>
    <w:rsid w:val="005819F5"/>
    <w:rsid w:val="005821C7"/>
    <w:rsid w:val="005840A1"/>
    <w:rsid w:val="00585101"/>
    <w:rsid w:val="00585336"/>
    <w:rsid w:val="005860DD"/>
    <w:rsid w:val="00586628"/>
    <w:rsid w:val="0058674F"/>
    <w:rsid w:val="00587B9D"/>
    <w:rsid w:val="00590A19"/>
    <w:rsid w:val="005925AD"/>
    <w:rsid w:val="00592DC2"/>
    <w:rsid w:val="00593546"/>
    <w:rsid w:val="00594DD6"/>
    <w:rsid w:val="00594FFB"/>
    <w:rsid w:val="00595095"/>
    <w:rsid w:val="005A1115"/>
    <w:rsid w:val="005A1709"/>
    <w:rsid w:val="005A1DE2"/>
    <w:rsid w:val="005A2795"/>
    <w:rsid w:val="005A2DDF"/>
    <w:rsid w:val="005A3188"/>
    <w:rsid w:val="005A4AE9"/>
    <w:rsid w:val="005A5DC8"/>
    <w:rsid w:val="005A6E07"/>
    <w:rsid w:val="005A73F8"/>
    <w:rsid w:val="005B1159"/>
    <w:rsid w:val="005B1167"/>
    <w:rsid w:val="005B17E0"/>
    <w:rsid w:val="005B1A9C"/>
    <w:rsid w:val="005B1AC3"/>
    <w:rsid w:val="005B33FC"/>
    <w:rsid w:val="005B3673"/>
    <w:rsid w:val="005B37E0"/>
    <w:rsid w:val="005B3971"/>
    <w:rsid w:val="005B3C86"/>
    <w:rsid w:val="005B4A48"/>
    <w:rsid w:val="005B4D99"/>
    <w:rsid w:val="005B6697"/>
    <w:rsid w:val="005B771E"/>
    <w:rsid w:val="005B783F"/>
    <w:rsid w:val="005C0746"/>
    <w:rsid w:val="005C160B"/>
    <w:rsid w:val="005C1CBE"/>
    <w:rsid w:val="005C3A79"/>
    <w:rsid w:val="005C498A"/>
    <w:rsid w:val="005C4EC7"/>
    <w:rsid w:val="005C5312"/>
    <w:rsid w:val="005C5C9E"/>
    <w:rsid w:val="005C5FB8"/>
    <w:rsid w:val="005C610E"/>
    <w:rsid w:val="005C6CD7"/>
    <w:rsid w:val="005C7274"/>
    <w:rsid w:val="005D15AB"/>
    <w:rsid w:val="005D1ED1"/>
    <w:rsid w:val="005D3708"/>
    <w:rsid w:val="005D3A5E"/>
    <w:rsid w:val="005D5061"/>
    <w:rsid w:val="005D6D0D"/>
    <w:rsid w:val="005D7D74"/>
    <w:rsid w:val="005E1BC2"/>
    <w:rsid w:val="005E3B53"/>
    <w:rsid w:val="005E4A18"/>
    <w:rsid w:val="005E4C6F"/>
    <w:rsid w:val="005E51A3"/>
    <w:rsid w:val="005E58DD"/>
    <w:rsid w:val="005E6847"/>
    <w:rsid w:val="005E75C0"/>
    <w:rsid w:val="005E7D4B"/>
    <w:rsid w:val="005E7D70"/>
    <w:rsid w:val="005F117E"/>
    <w:rsid w:val="005F2DF5"/>
    <w:rsid w:val="005F316F"/>
    <w:rsid w:val="005F3725"/>
    <w:rsid w:val="005F40DA"/>
    <w:rsid w:val="005F5BC0"/>
    <w:rsid w:val="005F5C90"/>
    <w:rsid w:val="005F61B2"/>
    <w:rsid w:val="005F6A13"/>
    <w:rsid w:val="005F6D7D"/>
    <w:rsid w:val="005F7347"/>
    <w:rsid w:val="00600DDF"/>
    <w:rsid w:val="006045A5"/>
    <w:rsid w:val="00604BB9"/>
    <w:rsid w:val="00604D46"/>
    <w:rsid w:val="00604E0B"/>
    <w:rsid w:val="00605EF4"/>
    <w:rsid w:val="00605F13"/>
    <w:rsid w:val="00606038"/>
    <w:rsid w:val="006061BD"/>
    <w:rsid w:val="00606345"/>
    <w:rsid w:val="006063F3"/>
    <w:rsid w:val="006066DE"/>
    <w:rsid w:val="0060678E"/>
    <w:rsid w:val="00611105"/>
    <w:rsid w:val="00612090"/>
    <w:rsid w:val="006134BE"/>
    <w:rsid w:val="00613D66"/>
    <w:rsid w:val="006143D9"/>
    <w:rsid w:val="006157B9"/>
    <w:rsid w:val="00615D8C"/>
    <w:rsid w:val="00615DC3"/>
    <w:rsid w:val="00616D4E"/>
    <w:rsid w:val="00617395"/>
    <w:rsid w:val="006204E1"/>
    <w:rsid w:val="0062074E"/>
    <w:rsid w:val="00620CAF"/>
    <w:rsid w:val="0062178A"/>
    <w:rsid w:val="006218DB"/>
    <w:rsid w:val="00621B34"/>
    <w:rsid w:val="006229D2"/>
    <w:rsid w:val="00624F73"/>
    <w:rsid w:val="006279DB"/>
    <w:rsid w:val="00627B50"/>
    <w:rsid w:val="00627B9D"/>
    <w:rsid w:val="0063067E"/>
    <w:rsid w:val="0063152E"/>
    <w:rsid w:val="00631C1E"/>
    <w:rsid w:val="00632C8A"/>
    <w:rsid w:val="00633D81"/>
    <w:rsid w:val="00635566"/>
    <w:rsid w:val="006357A2"/>
    <w:rsid w:val="006364C9"/>
    <w:rsid w:val="006371F6"/>
    <w:rsid w:val="006374BF"/>
    <w:rsid w:val="00637791"/>
    <w:rsid w:val="00640DC1"/>
    <w:rsid w:val="006418DC"/>
    <w:rsid w:val="00642F61"/>
    <w:rsid w:val="00644562"/>
    <w:rsid w:val="00646274"/>
    <w:rsid w:val="006472A5"/>
    <w:rsid w:val="00647373"/>
    <w:rsid w:val="00653B83"/>
    <w:rsid w:val="00654EF7"/>
    <w:rsid w:val="00655850"/>
    <w:rsid w:val="00656296"/>
    <w:rsid w:val="00657076"/>
    <w:rsid w:val="00657472"/>
    <w:rsid w:val="00661FCE"/>
    <w:rsid w:val="006635A0"/>
    <w:rsid w:val="00663793"/>
    <w:rsid w:val="0066523F"/>
    <w:rsid w:val="0066599F"/>
    <w:rsid w:val="00665C0D"/>
    <w:rsid w:val="00665CBD"/>
    <w:rsid w:val="00670E06"/>
    <w:rsid w:val="00670ED8"/>
    <w:rsid w:val="006730B6"/>
    <w:rsid w:val="00673520"/>
    <w:rsid w:val="00676432"/>
    <w:rsid w:val="00682DE2"/>
    <w:rsid w:val="00682EF8"/>
    <w:rsid w:val="0068447A"/>
    <w:rsid w:val="00686354"/>
    <w:rsid w:val="00687835"/>
    <w:rsid w:val="0069027A"/>
    <w:rsid w:val="0069049F"/>
    <w:rsid w:val="006910BF"/>
    <w:rsid w:val="00692EED"/>
    <w:rsid w:val="00692F6A"/>
    <w:rsid w:val="00696EBB"/>
    <w:rsid w:val="00697488"/>
    <w:rsid w:val="006A1C42"/>
    <w:rsid w:val="006A40A3"/>
    <w:rsid w:val="006A52C3"/>
    <w:rsid w:val="006A609B"/>
    <w:rsid w:val="006A737C"/>
    <w:rsid w:val="006B1D52"/>
    <w:rsid w:val="006B24C4"/>
    <w:rsid w:val="006B280B"/>
    <w:rsid w:val="006B3C8D"/>
    <w:rsid w:val="006B4668"/>
    <w:rsid w:val="006B5E0B"/>
    <w:rsid w:val="006B7F6B"/>
    <w:rsid w:val="006C061F"/>
    <w:rsid w:val="006C29A2"/>
    <w:rsid w:val="006C3C9F"/>
    <w:rsid w:val="006C3EAB"/>
    <w:rsid w:val="006C4D02"/>
    <w:rsid w:val="006C5004"/>
    <w:rsid w:val="006C6D40"/>
    <w:rsid w:val="006D19EC"/>
    <w:rsid w:val="006D3393"/>
    <w:rsid w:val="006D4AA4"/>
    <w:rsid w:val="006D65D3"/>
    <w:rsid w:val="006D700F"/>
    <w:rsid w:val="006E11F4"/>
    <w:rsid w:val="006E1F48"/>
    <w:rsid w:val="006E2271"/>
    <w:rsid w:val="006E282A"/>
    <w:rsid w:val="006E2C9B"/>
    <w:rsid w:val="006E33E0"/>
    <w:rsid w:val="006E35A6"/>
    <w:rsid w:val="006E4FEA"/>
    <w:rsid w:val="006E57DD"/>
    <w:rsid w:val="006E5DF6"/>
    <w:rsid w:val="006E614B"/>
    <w:rsid w:val="006E6408"/>
    <w:rsid w:val="006E7258"/>
    <w:rsid w:val="006E7EA7"/>
    <w:rsid w:val="006F06A7"/>
    <w:rsid w:val="006F3298"/>
    <w:rsid w:val="006F6192"/>
    <w:rsid w:val="00700104"/>
    <w:rsid w:val="007014B4"/>
    <w:rsid w:val="0070219B"/>
    <w:rsid w:val="00704866"/>
    <w:rsid w:val="007060BA"/>
    <w:rsid w:val="0070626B"/>
    <w:rsid w:val="007102D5"/>
    <w:rsid w:val="007106BE"/>
    <w:rsid w:val="0071342A"/>
    <w:rsid w:val="00713BFA"/>
    <w:rsid w:val="007144CC"/>
    <w:rsid w:val="00715E1A"/>
    <w:rsid w:val="00720FDC"/>
    <w:rsid w:val="00723AE9"/>
    <w:rsid w:val="00730421"/>
    <w:rsid w:val="00730434"/>
    <w:rsid w:val="00730A57"/>
    <w:rsid w:val="00731173"/>
    <w:rsid w:val="00731E4C"/>
    <w:rsid w:val="00733567"/>
    <w:rsid w:val="00735014"/>
    <w:rsid w:val="00736814"/>
    <w:rsid w:val="00737B91"/>
    <w:rsid w:val="007400E0"/>
    <w:rsid w:val="0074178D"/>
    <w:rsid w:val="00741A5F"/>
    <w:rsid w:val="00741CA8"/>
    <w:rsid w:val="00743770"/>
    <w:rsid w:val="00744178"/>
    <w:rsid w:val="007442CD"/>
    <w:rsid w:val="0074542B"/>
    <w:rsid w:val="00745E9F"/>
    <w:rsid w:val="00746256"/>
    <w:rsid w:val="00746AFD"/>
    <w:rsid w:val="0074737F"/>
    <w:rsid w:val="00750807"/>
    <w:rsid w:val="00750962"/>
    <w:rsid w:val="00750E9E"/>
    <w:rsid w:val="00751106"/>
    <w:rsid w:val="0075126F"/>
    <w:rsid w:val="007513C6"/>
    <w:rsid w:val="00751EDE"/>
    <w:rsid w:val="0075388F"/>
    <w:rsid w:val="00756FE9"/>
    <w:rsid w:val="00761318"/>
    <w:rsid w:val="00762198"/>
    <w:rsid w:val="007632AF"/>
    <w:rsid w:val="007652E8"/>
    <w:rsid w:val="00765A00"/>
    <w:rsid w:val="00765B95"/>
    <w:rsid w:val="00767F4D"/>
    <w:rsid w:val="00771582"/>
    <w:rsid w:val="007737CA"/>
    <w:rsid w:val="0077615C"/>
    <w:rsid w:val="007765DC"/>
    <w:rsid w:val="007775F5"/>
    <w:rsid w:val="007824AB"/>
    <w:rsid w:val="00782A53"/>
    <w:rsid w:val="00784F57"/>
    <w:rsid w:val="00785486"/>
    <w:rsid w:val="00786BEA"/>
    <w:rsid w:val="007910CB"/>
    <w:rsid w:val="00792AA9"/>
    <w:rsid w:val="00792C7D"/>
    <w:rsid w:val="00793F75"/>
    <w:rsid w:val="00794298"/>
    <w:rsid w:val="00794EF6"/>
    <w:rsid w:val="007A2736"/>
    <w:rsid w:val="007A30B7"/>
    <w:rsid w:val="007A4AAA"/>
    <w:rsid w:val="007A63A6"/>
    <w:rsid w:val="007A686E"/>
    <w:rsid w:val="007A6E8A"/>
    <w:rsid w:val="007B2B94"/>
    <w:rsid w:val="007B3222"/>
    <w:rsid w:val="007B3455"/>
    <w:rsid w:val="007B3D1D"/>
    <w:rsid w:val="007B5FAE"/>
    <w:rsid w:val="007B64A4"/>
    <w:rsid w:val="007C1E15"/>
    <w:rsid w:val="007C222B"/>
    <w:rsid w:val="007C240E"/>
    <w:rsid w:val="007C3F89"/>
    <w:rsid w:val="007C538C"/>
    <w:rsid w:val="007C670D"/>
    <w:rsid w:val="007D210B"/>
    <w:rsid w:val="007D4B49"/>
    <w:rsid w:val="007D4C7B"/>
    <w:rsid w:val="007D590C"/>
    <w:rsid w:val="007D5EC2"/>
    <w:rsid w:val="007E1C6A"/>
    <w:rsid w:val="007E38EA"/>
    <w:rsid w:val="007E6984"/>
    <w:rsid w:val="007E6BA1"/>
    <w:rsid w:val="007E7351"/>
    <w:rsid w:val="007E7BB8"/>
    <w:rsid w:val="007F25D0"/>
    <w:rsid w:val="007F3F2A"/>
    <w:rsid w:val="007F46B8"/>
    <w:rsid w:val="007F48AF"/>
    <w:rsid w:val="007F4F0D"/>
    <w:rsid w:val="007F7177"/>
    <w:rsid w:val="007F7350"/>
    <w:rsid w:val="00800A15"/>
    <w:rsid w:val="008013AE"/>
    <w:rsid w:val="008031FB"/>
    <w:rsid w:val="00804611"/>
    <w:rsid w:val="0080463A"/>
    <w:rsid w:val="00805C15"/>
    <w:rsid w:val="00805E9C"/>
    <w:rsid w:val="008067AB"/>
    <w:rsid w:val="00806DEC"/>
    <w:rsid w:val="008078DC"/>
    <w:rsid w:val="008105A8"/>
    <w:rsid w:val="00810EAA"/>
    <w:rsid w:val="0081150F"/>
    <w:rsid w:val="0081160D"/>
    <w:rsid w:val="00811D05"/>
    <w:rsid w:val="008123F2"/>
    <w:rsid w:val="00812852"/>
    <w:rsid w:val="00812B6E"/>
    <w:rsid w:val="00813ADF"/>
    <w:rsid w:val="00813C12"/>
    <w:rsid w:val="00821018"/>
    <w:rsid w:val="0082112E"/>
    <w:rsid w:val="00821971"/>
    <w:rsid w:val="008223C0"/>
    <w:rsid w:val="00822A99"/>
    <w:rsid w:val="00822C59"/>
    <w:rsid w:val="00825667"/>
    <w:rsid w:val="00825DD5"/>
    <w:rsid w:val="00825DFD"/>
    <w:rsid w:val="00826819"/>
    <w:rsid w:val="00833A4C"/>
    <w:rsid w:val="008349EF"/>
    <w:rsid w:val="00835474"/>
    <w:rsid w:val="0083592C"/>
    <w:rsid w:val="00841C97"/>
    <w:rsid w:val="00843F71"/>
    <w:rsid w:val="00846170"/>
    <w:rsid w:val="00847059"/>
    <w:rsid w:val="00850117"/>
    <w:rsid w:val="008521DF"/>
    <w:rsid w:val="0085355F"/>
    <w:rsid w:val="008542F0"/>
    <w:rsid w:val="008564B2"/>
    <w:rsid w:val="0085684D"/>
    <w:rsid w:val="008600BB"/>
    <w:rsid w:val="00864DEB"/>
    <w:rsid w:val="00864E46"/>
    <w:rsid w:val="00864F03"/>
    <w:rsid w:val="00864FC5"/>
    <w:rsid w:val="00865310"/>
    <w:rsid w:val="00865568"/>
    <w:rsid w:val="00865D8F"/>
    <w:rsid w:val="008669C4"/>
    <w:rsid w:val="00866E97"/>
    <w:rsid w:val="00871FF1"/>
    <w:rsid w:val="008727E0"/>
    <w:rsid w:val="00873163"/>
    <w:rsid w:val="00876D5E"/>
    <w:rsid w:val="00877925"/>
    <w:rsid w:val="00877DA5"/>
    <w:rsid w:val="00880257"/>
    <w:rsid w:val="008804D3"/>
    <w:rsid w:val="00882206"/>
    <w:rsid w:val="008822DC"/>
    <w:rsid w:val="008827CD"/>
    <w:rsid w:val="0088446E"/>
    <w:rsid w:val="008846BD"/>
    <w:rsid w:val="00885898"/>
    <w:rsid w:val="00887B0C"/>
    <w:rsid w:val="008921D1"/>
    <w:rsid w:val="0089257A"/>
    <w:rsid w:val="00893726"/>
    <w:rsid w:val="008947BD"/>
    <w:rsid w:val="008A0967"/>
    <w:rsid w:val="008A19F7"/>
    <w:rsid w:val="008A35C4"/>
    <w:rsid w:val="008A398D"/>
    <w:rsid w:val="008A459E"/>
    <w:rsid w:val="008A5392"/>
    <w:rsid w:val="008A63F3"/>
    <w:rsid w:val="008A75A0"/>
    <w:rsid w:val="008A7953"/>
    <w:rsid w:val="008A7DB7"/>
    <w:rsid w:val="008B0711"/>
    <w:rsid w:val="008B0933"/>
    <w:rsid w:val="008B0E88"/>
    <w:rsid w:val="008B133F"/>
    <w:rsid w:val="008B1532"/>
    <w:rsid w:val="008B21E6"/>
    <w:rsid w:val="008B2D37"/>
    <w:rsid w:val="008B37C5"/>
    <w:rsid w:val="008B4C4B"/>
    <w:rsid w:val="008B4CB0"/>
    <w:rsid w:val="008B4D69"/>
    <w:rsid w:val="008B5FB5"/>
    <w:rsid w:val="008B6D8D"/>
    <w:rsid w:val="008C038C"/>
    <w:rsid w:val="008C2B10"/>
    <w:rsid w:val="008C427A"/>
    <w:rsid w:val="008D06E5"/>
    <w:rsid w:val="008D1567"/>
    <w:rsid w:val="008D28EE"/>
    <w:rsid w:val="008D3818"/>
    <w:rsid w:val="008D5B57"/>
    <w:rsid w:val="008D71B7"/>
    <w:rsid w:val="008E314C"/>
    <w:rsid w:val="008E3CF0"/>
    <w:rsid w:val="008E63A6"/>
    <w:rsid w:val="008F2516"/>
    <w:rsid w:val="008F42BF"/>
    <w:rsid w:val="008F449D"/>
    <w:rsid w:val="008F5023"/>
    <w:rsid w:val="008F5797"/>
    <w:rsid w:val="008F6168"/>
    <w:rsid w:val="008F744F"/>
    <w:rsid w:val="009008AD"/>
    <w:rsid w:val="00902CD9"/>
    <w:rsid w:val="00903660"/>
    <w:rsid w:val="00903B95"/>
    <w:rsid w:val="00905A9E"/>
    <w:rsid w:val="00907666"/>
    <w:rsid w:val="009076AB"/>
    <w:rsid w:val="00911CA6"/>
    <w:rsid w:val="00911DA5"/>
    <w:rsid w:val="009134C5"/>
    <w:rsid w:val="0091436B"/>
    <w:rsid w:val="00915C79"/>
    <w:rsid w:val="0091705F"/>
    <w:rsid w:val="00917D34"/>
    <w:rsid w:val="00917EC5"/>
    <w:rsid w:val="00920370"/>
    <w:rsid w:val="009205E4"/>
    <w:rsid w:val="009215C0"/>
    <w:rsid w:val="00921BB7"/>
    <w:rsid w:val="00921CCD"/>
    <w:rsid w:val="00922A3D"/>
    <w:rsid w:val="00922C7B"/>
    <w:rsid w:val="0092556E"/>
    <w:rsid w:val="00926984"/>
    <w:rsid w:val="00926D40"/>
    <w:rsid w:val="009276FE"/>
    <w:rsid w:val="00927B49"/>
    <w:rsid w:val="00927F59"/>
    <w:rsid w:val="00931062"/>
    <w:rsid w:val="00931704"/>
    <w:rsid w:val="00932269"/>
    <w:rsid w:val="00937FF7"/>
    <w:rsid w:val="00940308"/>
    <w:rsid w:val="00940558"/>
    <w:rsid w:val="00942AA1"/>
    <w:rsid w:val="00943731"/>
    <w:rsid w:val="0094593B"/>
    <w:rsid w:val="00946D99"/>
    <w:rsid w:val="0094712F"/>
    <w:rsid w:val="00947DDB"/>
    <w:rsid w:val="009524AA"/>
    <w:rsid w:val="00952531"/>
    <w:rsid w:val="009533AB"/>
    <w:rsid w:val="009536AC"/>
    <w:rsid w:val="00953900"/>
    <w:rsid w:val="00955FDD"/>
    <w:rsid w:val="00960CC2"/>
    <w:rsid w:val="00961320"/>
    <w:rsid w:val="00961802"/>
    <w:rsid w:val="009647F9"/>
    <w:rsid w:val="009653B1"/>
    <w:rsid w:val="00965A0B"/>
    <w:rsid w:val="009663DA"/>
    <w:rsid w:val="0096650C"/>
    <w:rsid w:val="00967AE4"/>
    <w:rsid w:val="00967FB8"/>
    <w:rsid w:val="00971973"/>
    <w:rsid w:val="00973B00"/>
    <w:rsid w:val="00973E28"/>
    <w:rsid w:val="00975412"/>
    <w:rsid w:val="009761F4"/>
    <w:rsid w:val="00977123"/>
    <w:rsid w:val="0097791F"/>
    <w:rsid w:val="00980C63"/>
    <w:rsid w:val="009817AE"/>
    <w:rsid w:val="00981CAA"/>
    <w:rsid w:val="009834DF"/>
    <w:rsid w:val="009838DA"/>
    <w:rsid w:val="009842AB"/>
    <w:rsid w:val="00984E78"/>
    <w:rsid w:val="00984FA9"/>
    <w:rsid w:val="0098504B"/>
    <w:rsid w:val="00985E5E"/>
    <w:rsid w:val="009866EF"/>
    <w:rsid w:val="009902F4"/>
    <w:rsid w:val="00991E8A"/>
    <w:rsid w:val="00992536"/>
    <w:rsid w:val="00992927"/>
    <w:rsid w:val="00992ABA"/>
    <w:rsid w:val="0099378F"/>
    <w:rsid w:val="00993AAF"/>
    <w:rsid w:val="009953F6"/>
    <w:rsid w:val="00996A53"/>
    <w:rsid w:val="00996A5B"/>
    <w:rsid w:val="009A2F31"/>
    <w:rsid w:val="009A3371"/>
    <w:rsid w:val="009A479F"/>
    <w:rsid w:val="009A7FAA"/>
    <w:rsid w:val="009B1EB5"/>
    <w:rsid w:val="009B2563"/>
    <w:rsid w:val="009B2E23"/>
    <w:rsid w:val="009B48E1"/>
    <w:rsid w:val="009B4D82"/>
    <w:rsid w:val="009B513D"/>
    <w:rsid w:val="009B526B"/>
    <w:rsid w:val="009B652A"/>
    <w:rsid w:val="009B6777"/>
    <w:rsid w:val="009B765D"/>
    <w:rsid w:val="009C17D8"/>
    <w:rsid w:val="009C317B"/>
    <w:rsid w:val="009C3479"/>
    <w:rsid w:val="009D3AAC"/>
    <w:rsid w:val="009D3F43"/>
    <w:rsid w:val="009D4D6E"/>
    <w:rsid w:val="009D5AC5"/>
    <w:rsid w:val="009D5BBF"/>
    <w:rsid w:val="009D5C1B"/>
    <w:rsid w:val="009D64BC"/>
    <w:rsid w:val="009D7637"/>
    <w:rsid w:val="009E0804"/>
    <w:rsid w:val="009E13C8"/>
    <w:rsid w:val="009E166B"/>
    <w:rsid w:val="009E1B43"/>
    <w:rsid w:val="009E2FCA"/>
    <w:rsid w:val="009E4230"/>
    <w:rsid w:val="009E4A90"/>
    <w:rsid w:val="009E5F3B"/>
    <w:rsid w:val="009E6012"/>
    <w:rsid w:val="009F1119"/>
    <w:rsid w:val="009F3806"/>
    <w:rsid w:val="009F380F"/>
    <w:rsid w:val="009F5355"/>
    <w:rsid w:val="009F5445"/>
    <w:rsid w:val="009F5A83"/>
    <w:rsid w:val="009F6BDE"/>
    <w:rsid w:val="009F7047"/>
    <w:rsid w:val="00A0012F"/>
    <w:rsid w:val="00A07012"/>
    <w:rsid w:val="00A07C8C"/>
    <w:rsid w:val="00A1036E"/>
    <w:rsid w:val="00A10F07"/>
    <w:rsid w:val="00A11351"/>
    <w:rsid w:val="00A11F7D"/>
    <w:rsid w:val="00A12422"/>
    <w:rsid w:val="00A1265E"/>
    <w:rsid w:val="00A13F0E"/>
    <w:rsid w:val="00A15B53"/>
    <w:rsid w:val="00A15B67"/>
    <w:rsid w:val="00A169F1"/>
    <w:rsid w:val="00A2151C"/>
    <w:rsid w:val="00A21782"/>
    <w:rsid w:val="00A21C13"/>
    <w:rsid w:val="00A21F94"/>
    <w:rsid w:val="00A237F1"/>
    <w:rsid w:val="00A23D29"/>
    <w:rsid w:val="00A24EBD"/>
    <w:rsid w:val="00A24FF9"/>
    <w:rsid w:val="00A25161"/>
    <w:rsid w:val="00A25813"/>
    <w:rsid w:val="00A26359"/>
    <w:rsid w:val="00A26502"/>
    <w:rsid w:val="00A26922"/>
    <w:rsid w:val="00A26B5E"/>
    <w:rsid w:val="00A26BCF"/>
    <w:rsid w:val="00A27931"/>
    <w:rsid w:val="00A31C94"/>
    <w:rsid w:val="00A31FFF"/>
    <w:rsid w:val="00A32E44"/>
    <w:rsid w:val="00A3496A"/>
    <w:rsid w:val="00A3703E"/>
    <w:rsid w:val="00A40508"/>
    <w:rsid w:val="00A40771"/>
    <w:rsid w:val="00A412A7"/>
    <w:rsid w:val="00A41C71"/>
    <w:rsid w:val="00A43B37"/>
    <w:rsid w:val="00A44C3E"/>
    <w:rsid w:val="00A46166"/>
    <w:rsid w:val="00A470C1"/>
    <w:rsid w:val="00A47D69"/>
    <w:rsid w:val="00A526F1"/>
    <w:rsid w:val="00A5657A"/>
    <w:rsid w:val="00A56F32"/>
    <w:rsid w:val="00A57632"/>
    <w:rsid w:val="00A57FCB"/>
    <w:rsid w:val="00A601B9"/>
    <w:rsid w:val="00A61F4F"/>
    <w:rsid w:val="00A62A70"/>
    <w:rsid w:val="00A6516E"/>
    <w:rsid w:val="00A66D30"/>
    <w:rsid w:val="00A66D56"/>
    <w:rsid w:val="00A66E06"/>
    <w:rsid w:val="00A67644"/>
    <w:rsid w:val="00A70CB3"/>
    <w:rsid w:val="00A71287"/>
    <w:rsid w:val="00A71CAF"/>
    <w:rsid w:val="00A72169"/>
    <w:rsid w:val="00A72294"/>
    <w:rsid w:val="00A72ED0"/>
    <w:rsid w:val="00A73339"/>
    <w:rsid w:val="00A73440"/>
    <w:rsid w:val="00A742BA"/>
    <w:rsid w:val="00A74514"/>
    <w:rsid w:val="00A756FA"/>
    <w:rsid w:val="00A774E7"/>
    <w:rsid w:val="00A82576"/>
    <w:rsid w:val="00A84587"/>
    <w:rsid w:val="00A85C8D"/>
    <w:rsid w:val="00A872A2"/>
    <w:rsid w:val="00A92AD0"/>
    <w:rsid w:val="00A932CA"/>
    <w:rsid w:val="00A934A6"/>
    <w:rsid w:val="00A93586"/>
    <w:rsid w:val="00A93853"/>
    <w:rsid w:val="00A95689"/>
    <w:rsid w:val="00A956D2"/>
    <w:rsid w:val="00A9577A"/>
    <w:rsid w:val="00A95B29"/>
    <w:rsid w:val="00A96211"/>
    <w:rsid w:val="00A96873"/>
    <w:rsid w:val="00AA1330"/>
    <w:rsid w:val="00AA3285"/>
    <w:rsid w:val="00AA33B6"/>
    <w:rsid w:val="00AA34E0"/>
    <w:rsid w:val="00AA3E93"/>
    <w:rsid w:val="00AA4949"/>
    <w:rsid w:val="00AA4E86"/>
    <w:rsid w:val="00AA5D41"/>
    <w:rsid w:val="00AA76AF"/>
    <w:rsid w:val="00AA7AAB"/>
    <w:rsid w:val="00AA7B5D"/>
    <w:rsid w:val="00AB0F58"/>
    <w:rsid w:val="00AB1B30"/>
    <w:rsid w:val="00AB24FD"/>
    <w:rsid w:val="00AB6806"/>
    <w:rsid w:val="00AC023F"/>
    <w:rsid w:val="00AC2CF1"/>
    <w:rsid w:val="00AC2DC3"/>
    <w:rsid w:val="00AC41F3"/>
    <w:rsid w:val="00AC6054"/>
    <w:rsid w:val="00AC6915"/>
    <w:rsid w:val="00AC794E"/>
    <w:rsid w:val="00AD3FF5"/>
    <w:rsid w:val="00AD4903"/>
    <w:rsid w:val="00AD4E95"/>
    <w:rsid w:val="00AD56A9"/>
    <w:rsid w:val="00AD6846"/>
    <w:rsid w:val="00AD7A8E"/>
    <w:rsid w:val="00AD7BAE"/>
    <w:rsid w:val="00AE088D"/>
    <w:rsid w:val="00AE0D8B"/>
    <w:rsid w:val="00AE6D8E"/>
    <w:rsid w:val="00AE70C2"/>
    <w:rsid w:val="00AF06B7"/>
    <w:rsid w:val="00AF4B80"/>
    <w:rsid w:val="00AF5C4B"/>
    <w:rsid w:val="00AF66F4"/>
    <w:rsid w:val="00AF77E5"/>
    <w:rsid w:val="00B0017F"/>
    <w:rsid w:val="00B01CA6"/>
    <w:rsid w:val="00B02535"/>
    <w:rsid w:val="00B03B08"/>
    <w:rsid w:val="00B03B12"/>
    <w:rsid w:val="00B04144"/>
    <w:rsid w:val="00B0464F"/>
    <w:rsid w:val="00B04FB3"/>
    <w:rsid w:val="00B05A08"/>
    <w:rsid w:val="00B05DA0"/>
    <w:rsid w:val="00B07276"/>
    <w:rsid w:val="00B101D1"/>
    <w:rsid w:val="00B131B4"/>
    <w:rsid w:val="00B13929"/>
    <w:rsid w:val="00B14008"/>
    <w:rsid w:val="00B15385"/>
    <w:rsid w:val="00B15551"/>
    <w:rsid w:val="00B15703"/>
    <w:rsid w:val="00B20783"/>
    <w:rsid w:val="00B208D9"/>
    <w:rsid w:val="00B21D59"/>
    <w:rsid w:val="00B2275E"/>
    <w:rsid w:val="00B234BE"/>
    <w:rsid w:val="00B23502"/>
    <w:rsid w:val="00B237F4"/>
    <w:rsid w:val="00B23FB8"/>
    <w:rsid w:val="00B244CF"/>
    <w:rsid w:val="00B25066"/>
    <w:rsid w:val="00B2538C"/>
    <w:rsid w:val="00B26E68"/>
    <w:rsid w:val="00B30836"/>
    <w:rsid w:val="00B30939"/>
    <w:rsid w:val="00B30D59"/>
    <w:rsid w:val="00B36615"/>
    <w:rsid w:val="00B404F3"/>
    <w:rsid w:val="00B40988"/>
    <w:rsid w:val="00B41722"/>
    <w:rsid w:val="00B41E39"/>
    <w:rsid w:val="00B41E6F"/>
    <w:rsid w:val="00B43CBB"/>
    <w:rsid w:val="00B45906"/>
    <w:rsid w:val="00B469A3"/>
    <w:rsid w:val="00B46A8A"/>
    <w:rsid w:val="00B4759E"/>
    <w:rsid w:val="00B503DD"/>
    <w:rsid w:val="00B50543"/>
    <w:rsid w:val="00B51EF7"/>
    <w:rsid w:val="00B55BFF"/>
    <w:rsid w:val="00B606B3"/>
    <w:rsid w:val="00B60B10"/>
    <w:rsid w:val="00B6339E"/>
    <w:rsid w:val="00B644AA"/>
    <w:rsid w:val="00B64680"/>
    <w:rsid w:val="00B65243"/>
    <w:rsid w:val="00B652FB"/>
    <w:rsid w:val="00B65532"/>
    <w:rsid w:val="00B65A62"/>
    <w:rsid w:val="00B7033E"/>
    <w:rsid w:val="00B705B3"/>
    <w:rsid w:val="00B71D4B"/>
    <w:rsid w:val="00B72693"/>
    <w:rsid w:val="00B75D66"/>
    <w:rsid w:val="00B7747F"/>
    <w:rsid w:val="00B80FC2"/>
    <w:rsid w:val="00B81D6F"/>
    <w:rsid w:val="00B86262"/>
    <w:rsid w:val="00B90B0F"/>
    <w:rsid w:val="00B90D74"/>
    <w:rsid w:val="00B90FA6"/>
    <w:rsid w:val="00B931B4"/>
    <w:rsid w:val="00B958CC"/>
    <w:rsid w:val="00B9607F"/>
    <w:rsid w:val="00B96301"/>
    <w:rsid w:val="00B96CEC"/>
    <w:rsid w:val="00BA2699"/>
    <w:rsid w:val="00BA59A7"/>
    <w:rsid w:val="00BA716F"/>
    <w:rsid w:val="00BA71A4"/>
    <w:rsid w:val="00BA7364"/>
    <w:rsid w:val="00BB060D"/>
    <w:rsid w:val="00BB0E3E"/>
    <w:rsid w:val="00BB1195"/>
    <w:rsid w:val="00BB1650"/>
    <w:rsid w:val="00BB2B78"/>
    <w:rsid w:val="00BB3CBD"/>
    <w:rsid w:val="00BB70C6"/>
    <w:rsid w:val="00BB7D10"/>
    <w:rsid w:val="00BB7EEE"/>
    <w:rsid w:val="00BC0C49"/>
    <w:rsid w:val="00BC1679"/>
    <w:rsid w:val="00BC2AA6"/>
    <w:rsid w:val="00BC55EE"/>
    <w:rsid w:val="00BD17F1"/>
    <w:rsid w:val="00BD1C64"/>
    <w:rsid w:val="00BD4657"/>
    <w:rsid w:val="00BD4F54"/>
    <w:rsid w:val="00BD5779"/>
    <w:rsid w:val="00BD66EE"/>
    <w:rsid w:val="00BD7C3E"/>
    <w:rsid w:val="00BE2701"/>
    <w:rsid w:val="00BE2A26"/>
    <w:rsid w:val="00BE3A9A"/>
    <w:rsid w:val="00BE7610"/>
    <w:rsid w:val="00BE77DF"/>
    <w:rsid w:val="00BF18DC"/>
    <w:rsid w:val="00BF1B09"/>
    <w:rsid w:val="00BF2666"/>
    <w:rsid w:val="00BF28A9"/>
    <w:rsid w:val="00BF39A7"/>
    <w:rsid w:val="00BF4792"/>
    <w:rsid w:val="00BF6165"/>
    <w:rsid w:val="00BF7F12"/>
    <w:rsid w:val="00C014AC"/>
    <w:rsid w:val="00C015B5"/>
    <w:rsid w:val="00C02F9C"/>
    <w:rsid w:val="00C0362B"/>
    <w:rsid w:val="00C043B5"/>
    <w:rsid w:val="00C0454E"/>
    <w:rsid w:val="00C049B5"/>
    <w:rsid w:val="00C0639F"/>
    <w:rsid w:val="00C06DA6"/>
    <w:rsid w:val="00C07E7F"/>
    <w:rsid w:val="00C100B4"/>
    <w:rsid w:val="00C110D3"/>
    <w:rsid w:val="00C11678"/>
    <w:rsid w:val="00C116FC"/>
    <w:rsid w:val="00C1185A"/>
    <w:rsid w:val="00C11A75"/>
    <w:rsid w:val="00C145F6"/>
    <w:rsid w:val="00C14890"/>
    <w:rsid w:val="00C175B3"/>
    <w:rsid w:val="00C17E9C"/>
    <w:rsid w:val="00C20463"/>
    <w:rsid w:val="00C2170B"/>
    <w:rsid w:val="00C21920"/>
    <w:rsid w:val="00C21E46"/>
    <w:rsid w:val="00C22098"/>
    <w:rsid w:val="00C23575"/>
    <w:rsid w:val="00C23BA8"/>
    <w:rsid w:val="00C24017"/>
    <w:rsid w:val="00C26866"/>
    <w:rsid w:val="00C27BB9"/>
    <w:rsid w:val="00C31F48"/>
    <w:rsid w:val="00C31FCE"/>
    <w:rsid w:val="00C3279E"/>
    <w:rsid w:val="00C33374"/>
    <w:rsid w:val="00C35304"/>
    <w:rsid w:val="00C36F1C"/>
    <w:rsid w:val="00C37512"/>
    <w:rsid w:val="00C37818"/>
    <w:rsid w:val="00C40AC8"/>
    <w:rsid w:val="00C40CFD"/>
    <w:rsid w:val="00C41240"/>
    <w:rsid w:val="00C42246"/>
    <w:rsid w:val="00C42B58"/>
    <w:rsid w:val="00C43E09"/>
    <w:rsid w:val="00C43F8C"/>
    <w:rsid w:val="00C441D7"/>
    <w:rsid w:val="00C4481A"/>
    <w:rsid w:val="00C46FAF"/>
    <w:rsid w:val="00C471EB"/>
    <w:rsid w:val="00C500B2"/>
    <w:rsid w:val="00C52CF3"/>
    <w:rsid w:val="00C54619"/>
    <w:rsid w:val="00C57494"/>
    <w:rsid w:val="00C57A52"/>
    <w:rsid w:val="00C603F9"/>
    <w:rsid w:val="00C618C6"/>
    <w:rsid w:val="00C61933"/>
    <w:rsid w:val="00C62018"/>
    <w:rsid w:val="00C6436F"/>
    <w:rsid w:val="00C64C78"/>
    <w:rsid w:val="00C64F44"/>
    <w:rsid w:val="00C66DD1"/>
    <w:rsid w:val="00C66FE3"/>
    <w:rsid w:val="00C67D97"/>
    <w:rsid w:val="00C67DF3"/>
    <w:rsid w:val="00C7048E"/>
    <w:rsid w:val="00C71DA8"/>
    <w:rsid w:val="00C72CC4"/>
    <w:rsid w:val="00C73979"/>
    <w:rsid w:val="00C74FC1"/>
    <w:rsid w:val="00C75D0A"/>
    <w:rsid w:val="00C800D4"/>
    <w:rsid w:val="00C8170A"/>
    <w:rsid w:val="00C81F95"/>
    <w:rsid w:val="00C830C6"/>
    <w:rsid w:val="00C83190"/>
    <w:rsid w:val="00C835B0"/>
    <w:rsid w:val="00C85C55"/>
    <w:rsid w:val="00C85C78"/>
    <w:rsid w:val="00C873EE"/>
    <w:rsid w:val="00C931D9"/>
    <w:rsid w:val="00C964AF"/>
    <w:rsid w:val="00C97443"/>
    <w:rsid w:val="00CA14D3"/>
    <w:rsid w:val="00CA308E"/>
    <w:rsid w:val="00CA36FA"/>
    <w:rsid w:val="00CA4418"/>
    <w:rsid w:val="00CA44FC"/>
    <w:rsid w:val="00CA4960"/>
    <w:rsid w:val="00CA4E20"/>
    <w:rsid w:val="00CA5851"/>
    <w:rsid w:val="00CB0837"/>
    <w:rsid w:val="00CB09E6"/>
    <w:rsid w:val="00CB0E77"/>
    <w:rsid w:val="00CB1C0B"/>
    <w:rsid w:val="00CB2197"/>
    <w:rsid w:val="00CB3C89"/>
    <w:rsid w:val="00CB4668"/>
    <w:rsid w:val="00CB62AA"/>
    <w:rsid w:val="00CB6FDA"/>
    <w:rsid w:val="00CB7F8C"/>
    <w:rsid w:val="00CC14C0"/>
    <w:rsid w:val="00CC255C"/>
    <w:rsid w:val="00CC2996"/>
    <w:rsid w:val="00CC5D63"/>
    <w:rsid w:val="00CC7A30"/>
    <w:rsid w:val="00CD009F"/>
    <w:rsid w:val="00CD1860"/>
    <w:rsid w:val="00CD19FE"/>
    <w:rsid w:val="00CD3AC2"/>
    <w:rsid w:val="00CD57CE"/>
    <w:rsid w:val="00CD64CB"/>
    <w:rsid w:val="00CE203F"/>
    <w:rsid w:val="00CE3C63"/>
    <w:rsid w:val="00CE5E22"/>
    <w:rsid w:val="00CF0499"/>
    <w:rsid w:val="00CF1B53"/>
    <w:rsid w:val="00CF2451"/>
    <w:rsid w:val="00CF2ACE"/>
    <w:rsid w:val="00CF343E"/>
    <w:rsid w:val="00CF6F51"/>
    <w:rsid w:val="00D018D1"/>
    <w:rsid w:val="00D02DE5"/>
    <w:rsid w:val="00D02E1D"/>
    <w:rsid w:val="00D034AD"/>
    <w:rsid w:val="00D03A7A"/>
    <w:rsid w:val="00D03BF6"/>
    <w:rsid w:val="00D042EA"/>
    <w:rsid w:val="00D04D9A"/>
    <w:rsid w:val="00D0537B"/>
    <w:rsid w:val="00D070C8"/>
    <w:rsid w:val="00D070DA"/>
    <w:rsid w:val="00D10DEB"/>
    <w:rsid w:val="00D12A00"/>
    <w:rsid w:val="00D15F1C"/>
    <w:rsid w:val="00D16BDD"/>
    <w:rsid w:val="00D16E1E"/>
    <w:rsid w:val="00D22668"/>
    <w:rsid w:val="00D243EC"/>
    <w:rsid w:val="00D24BA0"/>
    <w:rsid w:val="00D27152"/>
    <w:rsid w:val="00D27514"/>
    <w:rsid w:val="00D3065A"/>
    <w:rsid w:val="00D320BB"/>
    <w:rsid w:val="00D3244D"/>
    <w:rsid w:val="00D3258E"/>
    <w:rsid w:val="00D354E0"/>
    <w:rsid w:val="00D35957"/>
    <w:rsid w:val="00D35987"/>
    <w:rsid w:val="00D36E7C"/>
    <w:rsid w:val="00D377D9"/>
    <w:rsid w:val="00D37F5C"/>
    <w:rsid w:val="00D4155F"/>
    <w:rsid w:val="00D43048"/>
    <w:rsid w:val="00D43C62"/>
    <w:rsid w:val="00D448C6"/>
    <w:rsid w:val="00D45E0C"/>
    <w:rsid w:val="00D46B2C"/>
    <w:rsid w:val="00D47970"/>
    <w:rsid w:val="00D50AD6"/>
    <w:rsid w:val="00D51553"/>
    <w:rsid w:val="00D51747"/>
    <w:rsid w:val="00D5481C"/>
    <w:rsid w:val="00D5584E"/>
    <w:rsid w:val="00D5671C"/>
    <w:rsid w:val="00D576BF"/>
    <w:rsid w:val="00D62106"/>
    <w:rsid w:val="00D639D1"/>
    <w:rsid w:val="00D65013"/>
    <w:rsid w:val="00D65F80"/>
    <w:rsid w:val="00D6701A"/>
    <w:rsid w:val="00D702B9"/>
    <w:rsid w:val="00D71412"/>
    <w:rsid w:val="00D71EF5"/>
    <w:rsid w:val="00D72090"/>
    <w:rsid w:val="00D7276C"/>
    <w:rsid w:val="00D73889"/>
    <w:rsid w:val="00D73C92"/>
    <w:rsid w:val="00D73ECD"/>
    <w:rsid w:val="00D74C08"/>
    <w:rsid w:val="00D74EC4"/>
    <w:rsid w:val="00D760A8"/>
    <w:rsid w:val="00D763BD"/>
    <w:rsid w:val="00D779DD"/>
    <w:rsid w:val="00D803E8"/>
    <w:rsid w:val="00D8188F"/>
    <w:rsid w:val="00D81BFE"/>
    <w:rsid w:val="00D821E2"/>
    <w:rsid w:val="00D83503"/>
    <w:rsid w:val="00D83540"/>
    <w:rsid w:val="00D83EF3"/>
    <w:rsid w:val="00D85622"/>
    <w:rsid w:val="00D85AE8"/>
    <w:rsid w:val="00D868FD"/>
    <w:rsid w:val="00D902E2"/>
    <w:rsid w:val="00D92EF1"/>
    <w:rsid w:val="00D92FE1"/>
    <w:rsid w:val="00D9341F"/>
    <w:rsid w:val="00D9486F"/>
    <w:rsid w:val="00D97CD3"/>
    <w:rsid w:val="00D97E2C"/>
    <w:rsid w:val="00DA1D6A"/>
    <w:rsid w:val="00DA3E20"/>
    <w:rsid w:val="00DA4BBA"/>
    <w:rsid w:val="00DA4CE3"/>
    <w:rsid w:val="00DA7E78"/>
    <w:rsid w:val="00DB0030"/>
    <w:rsid w:val="00DB0160"/>
    <w:rsid w:val="00DB40F2"/>
    <w:rsid w:val="00DB4DC5"/>
    <w:rsid w:val="00DB5C80"/>
    <w:rsid w:val="00DB65C5"/>
    <w:rsid w:val="00DB745F"/>
    <w:rsid w:val="00DC00D7"/>
    <w:rsid w:val="00DC0427"/>
    <w:rsid w:val="00DC1469"/>
    <w:rsid w:val="00DC1D82"/>
    <w:rsid w:val="00DC40CC"/>
    <w:rsid w:val="00DC4F63"/>
    <w:rsid w:val="00DC54AB"/>
    <w:rsid w:val="00DC7A72"/>
    <w:rsid w:val="00DD018A"/>
    <w:rsid w:val="00DD09AA"/>
    <w:rsid w:val="00DD0E8A"/>
    <w:rsid w:val="00DD18C2"/>
    <w:rsid w:val="00DD21DF"/>
    <w:rsid w:val="00DD2CD9"/>
    <w:rsid w:val="00DD3A1E"/>
    <w:rsid w:val="00DD6564"/>
    <w:rsid w:val="00DD7548"/>
    <w:rsid w:val="00DE1A2D"/>
    <w:rsid w:val="00DE36D4"/>
    <w:rsid w:val="00DE450E"/>
    <w:rsid w:val="00DF06D9"/>
    <w:rsid w:val="00DF0C86"/>
    <w:rsid w:val="00DF3344"/>
    <w:rsid w:val="00DF4CE1"/>
    <w:rsid w:val="00DF720F"/>
    <w:rsid w:val="00DF7400"/>
    <w:rsid w:val="00DF7E8C"/>
    <w:rsid w:val="00E015E5"/>
    <w:rsid w:val="00E03398"/>
    <w:rsid w:val="00E04693"/>
    <w:rsid w:val="00E04F6D"/>
    <w:rsid w:val="00E06E09"/>
    <w:rsid w:val="00E11BC2"/>
    <w:rsid w:val="00E12539"/>
    <w:rsid w:val="00E12DB8"/>
    <w:rsid w:val="00E13B68"/>
    <w:rsid w:val="00E1620F"/>
    <w:rsid w:val="00E2006C"/>
    <w:rsid w:val="00E207B0"/>
    <w:rsid w:val="00E20FCE"/>
    <w:rsid w:val="00E212B6"/>
    <w:rsid w:val="00E22D31"/>
    <w:rsid w:val="00E22E15"/>
    <w:rsid w:val="00E2301F"/>
    <w:rsid w:val="00E24352"/>
    <w:rsid w:val="00E248E1"/>
    <w:rsid w:val="00E2730F"/>
    <w:rsid w:val="00E300A4"/>
    <w:rsid w:val="00E303E0"/>
    <w:rsid w:val="00E30638"/>
    <w:rsid w:val="00E30943"/>
    <w:rsid w:val="00E3141E"/>
    <w:rsid w:val="00E336DC"/>
    <w:rsid w:val="00E35370"/>
    <w:rsid w:val="00E3541D"/>
    <w:rsid w:val="00E35F42"/>
    <w:rsid w:val="00E377D1"/>
    <w:rsid w:val="00E40636"/>
    <w:rsid w:val="00E413E8"/>
    <w:rsid w:val="00E421D8"/>
    <w:rsid w:val="00E43659"/>
    <w:rsid w:val="00E44AAF"/>
    <w:rsid w:val="00E4503E"/>
    <w:rsid w:val="00E45EA5"/>
    <w:rsid w:val="00E47EBE"/>
    <w:rsid w:val="00E50482"/>
    <w:rsid w:val="00E504D6"/>
    <w:rsid w:val="00E50C14"/>
    <w:rsid w:val="00E54D0F"/>
    <w:rsid w:val="00E554E6"/>
    <w:rsid w:val="00E55CCE"/>
    <w:rsid w:val="00E56E05"/>
    <w:rsid w:val="00E60C97"/>
    <w:rsid w:val="00E61278"/>
    <w:rsid w:val="00E63273"/>
    <w:rsid w:val="00E63582"/>
    <w:rsid w:val="00E6416B"/>
    <w:rsid w:val="00E6456B"/>
    <w:rsid w:val="00E6489A"/>
    <w:rsid w:val="00E65946"/>
    <w:rsid w:val="00E66180"/>
    <w:rsid w:val="00E66981"/>
    <w:rsid w:val="00E70842"/>
    <w:rsid w:val="00E716D5"/>
    <w:rsid w:val="00E727AF"/>
    <w:rsid w:val="00E731CB"/>
    <w:rsid w:val="00E73478"/>
    <w:rsid w:val="00E7480B"/>
    <w:rsid w:val="00E74A5C"/>
    <w:rsid w:val="00E74A74"/>
    <w:rsid w:val="00E74FC4"/>
    <w:rsid w:val="00E76BA1"/>
    <w:rsid w:val="00E7781E"/>
    <w:rsid w:val="00E8143D"/>
    <w:rsid w:val="00E81A69"/>
    <w:rsid w:val="00E84082"/>
    <w:rsid w:val="00E841D5"/>
    <w:rsid w:val="00E877B1"/>
    <w:rsid w:val="00E87ED2"/>
    <w:rsid w:val="00E90C6B"/>
    <w:rsid w:val="00E90D85"/>
    <w:rsid w:val="00E918A8"/>
    <w:rsid w:val="00E93426"/>
    <w:rsid w:val="00E9476B"/>
    <w:rsid w:val="00E94FC4"/>
    <w:rsid w:val="00E956C8"/>
    <w:rsid w:val="00E97699"/>
    <w:rsid w:val="00EA063D"/>
    <w:rsid w:val="00EA41B8"/>
    <w:rsid w:val="00EA4A98"/>
    <w:rsid w:val="00EA5391"/>
    <w:rsid w:val="00EA5719"/>
    <w:rsid w:val="00EA671B"/>
    <w:rsid w:val="00EA712E"/>
    <w:rsid w:val="00EA7B40"/>
    <w:rsid w:val="00EB0887"/>
    <w:rsid w:val="00EB18A2"/>
    <w:rsid w:val="00EB21B9"/>
    <w:rsid w:val="00EB24F0"/>
    <w:rsid w:val="00EB28F4"/>
    <w:rsid w:val="00EB59E7"/>
    <w:rsid w:val="00EB631D"/>
    <w:rsid w:val="00EC0D14"/>
    <w:rsid w:val="00EC0E17"/>
    <w:rsid w:val="00EC0E4F"/>
    <w:rsid w:val="00EC1DBA"/>
    <w:rsid w:val="00EC2C09"/>
    <w:rsid w:val="00EC2D44"/>
    <w:rsid w:val="00EC2E49"/>
    <w:rsid w:val="00EC60F5"/>
    <w:rsid w:val="00EC69C1"/>
    <w:rsid w:val="00ED04D6"/>
    <w:rsid w:val="00ED1516"/>
    <w:rsid w:val="00ED15E7"/>
    <w:rsid w:val="00ED2E52"/>
    <w:rsid w:val="00ED400D"/>
    <w:rsid w:val="00ED45F6"/>
    <w:rsid w:val="00ED6574"/>
    <w:rsid w:val="00ED6B87"/>
    <w:rsid w:val="00EE0D9C"/>
    <w:rsid w:val="00EE1286"/>
    <w:rsid w:val="00EE340F"/>
    <w:rsid w:val="00EE542D"/>
    <w:rsid w:val="00EE5F89"/>
    <w:rsid w:val="00EE705B"/>
    <w:rsid w:val="00EE7A36"/>
    <w:rsid w:val="00EF28A1"/>
    <w:rsid w:val="00EF31B3"/>
    <w:rsid w:val="00EF4B7D"/>
    <w:rsid w:val="00EF62D5"/>
    <w:rsid w:val="00EF790C"/>
    <w:rsid w:val="00F01598"/>
    <w:rsid w:val="00F026FF"/>
    <w:rsid w:val="00F02745"/>
    <w:rsid w:val="00F0494E"/>
    <w:rsid w:val="00F053B1"/>
    <w:rsid w:val="00F06052"/>
    <w:rsid w:val="00F0648A"/>
    <w:rsid w:val="00F14231"/>
    <w:rsid w:val="00F142C1"/>
    <w:rsid w:val="00F14475"/>
    <w:rsid w:val="00F20000"/>
    <w:rsid w:val="00F21479"/>
    <w:rsid w:val="00F22043"/>
    <w:rsid w:val="00F22402"/>
    <w:rsid w:val="00F23798"/>
    <w:rsid w:val="00F248F1"/>
    <w:rsid w:val="00F25E8F"/>
    <w:rsid w:val="00F25F29"/>
    <w:rsid w:val="00F26566"/>
    <w:rsid w:val="00F26C9F"/>
    <w:rsid w:val="00F26E1A"/>
    <w:rsid w:val="00F30FA2"/>
    <w:rsid w:val="00F3141A"/>
    <w:rsid w:val="00F31DAA"/>
    <w:rsid w:val="00F323D4"/>
    <w:rsid w:val="00F328BE"/>
    <w:rsid w:val="00F44F33"/>
    <w:rsid w:val="00F456C5"/>
    <w:rsid w:val="00F458D3"/>
    <w:rsid w:val="00F45CBB"/>
    <w:rsid w:val="00F46084"/>
    <w:rsid w:val="00F506CE"/>
    <w:rsid w:val="00F53A56"/>
    <w:rsid w:val="00F53C7C"/>
    <w:rsid w:val="00F60201"/>
    <w:rsid w:val="00F61DBB"/>
    <w:rsid w:val="00F64116"/>
    <w:rsid w:val="00F66999"/>
    <w:rsid w:val="00F6768C"/>
    <w:rsid w:val="00F67DC1"/>
    <w:rsid w:val="00F706FC"/>
    <w:rsid w:val="00F70AE5"/>
    <w:rsid w:val="00F71E7A"/>
    <w:rsid w:val="00F7224D"/>
    <w:rsid w:val="00F72317"/>
    <w:rsid w:val="00F728B7"/>
    <w:rsid w:val="00F73864"/>
    <w:rsid w:val="00F73D75"/>
    <w:rsid w:val="00F74745"/>
    <w:rsid w:val="00F74B4D"/>
    <w:rsid w:val="00F75B0D"/>
    <w:rsid w:val="00F761B2"/>
    <w:rsid w:val="00F76B32"/>
    <w:rsid w:val="00F80655"/>
    <w:rsid w:val="00F82AE6"/>
    <w:rsid w:val="00F83976"/>
    <w:rsid w:val="00F83BEB"/>
    <w:rsid w:val="00F84072"/>
    <w:rsid w:val="00F847BC"/>
    <w:rsid w:val="00F84B87"/>
    <w:rsid w:val="00F867F3"/>
    <w:rsid w:val="00F875F8"/>
    <w:rsid w:val="00F87C99"/>
    <w:rsid w:val="00F9029E"/>
    <w:rsid w:val="00F9499B"/>
    <w:rsid w:val="00FA054E"/>
    <w:rsid w:val="00FA19F4"/>
    <w:rsid w:val="00FA1C08"/>
    <w:rsid w:val="00FA1E36"/>
    <w:rsid w:val="00FA20CE"/>
    <w:rsid w:val="00FA522B"/>
    <w:rsid w:val="00FB0A54"/>
    <w:rsid w:val="00FB1253"/>
    <w:rsid w:val="00FB15B0"/>
    <w:rsid w:val="00FB28D9"/>
    <w:rsid w:val="00FB381F"/>
    <w:rsid w:val="00FB39B2"/>
    <w:rsid w:val="00FB3FA0"/>
    <w:rsid w:val="00FB53C3"/>
    <w:rsid w:val="00FB6F59"/>
    <w:rsid w:val="00FB7B45"/>
    <w:rsid w:val="00FB7D47"/>
    <w:rsid w:val="00FB7DEE"/>
    <w:rsid w:val="00FC01B1"/>
    <w:rsid w:val="00FC0E63"/>
    <w:rsid w:val="00FC2D89"/>
    <w:rsid w:val="00FC3460"/>
    <w:rsid w:val="00FC495A"/>
    <w:rsid w:val="00FC62C9"/>
    <w:rsid w:val="00FC63A0"/>
    <w:rsid w:val="00FC6DB4"/>
    <w:rsid w:val="00FC6F23"/>
    <w:rsid w:val="00FC7696"/>
    <w:rsid w:val="00FC7E90"/>
    <w:rsid w:val="00FD001B"/>
    <w:rsid w:val="00FD09FE"/>
    <w:rsid w:val="00FD34C2"/>
    <w:rsid w:val="00FE23DA"/>
    <w:rsid w:val="00FE35E4"/>
    <w:rsid w:val="00FE36F2"/>
    <w:rsid w:val="00FE40B4"/>
    <w:rsid w:val="00FE4B61"/>
    <w:rsid w:val="00FE4E2D"/>
    <w:rsid w:val="00FE5B61"/>
    <w:rsid w:val="00FE64B2"/>
    <w:rsid w:val="00FE6632"/>
    <w:rsid w:val="00FF05C5"/>
    <w:rsid w:val="00FF163C"/>
    <w:rsid w:val="00FF189F"/>
    <w:rsid w:val="00FF379D"/>
    <w:rsid w:val="00FF5D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strokecolor="none [3215]">
      <v:stroke color="none [3215]" weight="1pt"/>
    </o:shapedefaults>
    <o:shapelayout v:ext="edit">
      <o:idmap v:ext="edit" data="1"/>
    </o:shapelayout>
  </w:shapeDefaults>
  <w:decimalSymbol w:val=","/>
  <w:listSeparator w:val=";"/>
  <w14:docId w14:val="5EE7B264"/>
  <w15:docId w15:val="{48AD9806-B4B3-448C-9CA4-8A68BB90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D009F"/>
    <w:rPr>
      <w:sz w:val="22"/>
      <w:szCs w:val="22"/>
      <w:lang w:val="en-GB" w:eastAsia="en-US"/>
    </w:rPr>
  </w:style>
  <w:style w:type="paragraph" w:styleId="Heading1">
    <w:name w:val="heading 1"/>
    <w:basedOn w:val="Normal"/>
    <w:next w:val="Normal"/>
    <w:link w:val="Heading1Char"/>
    <w:uiPriority w:val="9"/>
    <w:qFormat/>
    <w:rsid w:val="004B6993"/>
    <w:pPr>
      <w:keepNext/>
      <w:keepLines/>
      <w:spacing w:before="480"/>
      <w:outlineLvl w:val="0"/>
    </w:pPr>
    <w:rPr>
      <w:rFonts w:ascii="Arial" w:hAnsi="Arial"/>
      <w:b/>
      <w:bCs/>
      <w:color w:val="4244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rsid w:val="00F46084"/>
    <w:pPr>
      <w:spacing w:after="120"/>
    </w:pPr>
  </w:style>
  <w:style w:type="paragraph" w:styleId="Header">
    <w:name w:val="header"/>
    <w:basedOn w:val="Normal"/>
    <w:link w:val="HeaderChar"/>
    <w:uiPriority w:val="99"/>
    <w:unhideWhenUsed/>
    <w:rsid w:val="00B04144"/>
    <w:pPr>
      <w:tabs>
        <w:tab w:val="center" w:pos="4536"/>
        <w:tab w:val="right" w:pos="9072"/>
      </w:tabs>
    </w:pPr>
  </w:style>
  <w:style w:type="character" w:customStyle="1" w:styleId="HeaderChar">
    <w:name w:val="Header Char"/>
    <w:basedOn w:val="DefaultParagraphFont"/>
    <w:link w:val="Header"/>
    <w:uiPriority w:val="99"/>
    <w:rsid w:val="00B04144"/>
  </w:style>
  <w:style w:type="paragraph" w:styleId="Footer">
    <w:name w:val="footer"/>
    <w:basedOn w:val="Normal"/>
    <w:link w:val="FooterChar"/>
    <w:uiPriority w:val="99"/>
    <w:rsid w:val="00B04144"/>
    <w:pPr>
      <w:tabs>
        <w:tab w:val="center" w:pos="4536"/>
        <w:tab w:val="right" w:pos="9072"/>
      </w:tabs>
    </w:pPr>
  </w:style>
  <w:style w:type="character" w:customStyle="1" w:styleId="FooterChar">
    <w:name w:val="Footer Char"/>
    <w:link w:val="Footer"/>
    <w:uiPriority w:val="99"/>
    <w:rsid w:val="00CD009F"/>
    <w:rPr>
      <w:lang w:val="en-GB"/>
    </w:rPr>
  </w:style>
  <w:style w:type="paragraph" w:styleId="BalloonText">
    <w:name w:val="Balloon Text"/>
    <w:basedOn w:val="Normal"/>
    <w:link w:val="BalloonTextChar"/>
    <w:uiPriority w:val="99"/>
    <w:semiHidden/>
    <w:unhideWhenUsed/>
    <w:rsid w:val="00B04144"/>
    <w:rPr>
      <w:rFonts w:ascii="Tahoma" w:hAnsi="Tahoma" w:cs="Tahoma"/>
      <w:sz w:val="16"/>
      <w:szCs w:val="16"/>
    </w:rPr>
  </w:style>
  <w:style w:type="character" w:customStyle="1" w:styleId="BalloonTextChar">
    <w:name w:val="Balloon Text Char"/>
    <w:link w:val="BalloonTex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7A686E"/>
    <w:pPr>
      <w:spacing w:after="280" w:line="600" w:lineRule="exact"/>
    </w:pPr>
    <w:rPr>
      <w:rFonts w:ascii="Arial" w:hAnsi="Arial" w:cs="Arial"/>
      <w:b/>
      <w:color w:val="23236E"/>
      <w:sz w:val="57"/>
      <w:szCs w:val="57"/>
    </w:rPr>
  </w:style>
  <w:style w:type="paragraph" w:customStyle="1" w:styleId="textheader">
    <w:name w:val="text header"/>
    <w:basedOn w:val="textregular"/>
    <w:uiPriority w:val="1"/>
    <w:qFormat/>
    <w:rsid w:val="00B30D59"/>
    <w:pPr>
      <w:spacing w:after="400" w:line="500" w:lineRule="exact"/>
    </w:pPr>
    <w:rPr>
      <w:rFonts w:ascii="Arial" w:hAnsi="Arial" w:cs="Arial"/>
      <w:color w:val="23236E"/>
      <w:sz w:val="40"/>
      <w:szCs w:val="40"/>
      <w:lang w:val="en-US"/>
    </w:rPr>
  </w:style>
  <w:style w:type="paragraph" w:customStyle="1" w:styleId="time">
    <w:name w:val="time"/>
    <w:basedOn w:val="textregular"/>
    <w:uiPriority w:val="1"/>
    <w:qFormat/>
    <w:rsid w:val="007A686E"/>
    <w:pPr>
      <w:framePr w:hSpace="142" w:vSpace="5528" w:wrap="around" w:vAnchor="page" w:hAnchor="page" w:x="1362" w:y="5104"/>
      <w:spacing w:after="0" w:line="320" w:lineRule="exact"/>
    </w:pPr>
    <w:rPr>
      <w:rFonts w:ascii="Arial" w:hAnsi="Arial" w:cs="Arial"/>
      <w:sz w:val="29"/>
      <w:szCs w:val="29"/>
      <w:lang w:val="en-US"/>
    </w:rPr>
  </w:style>
  <w:style w:type="character" w:styleId="PlaceholderText">
    <w:name w:val="Placeholder Text"/>
    <w:uiPriority w:val="99"/>
    <w:semiHidden/>
    <w:rsid w:val="00903B95"/>
    <w:rPr>
      <w:color w:val="808080"/>
    </w:rPr>
  </w:style>
  <w:style w:type="paragraph" w:customStyle="1" w:styleId="headline1">
    <w:name w:val="headline 1"/>
    <w:basedOn w:val="textregular"/>
    <w:uiPriority w:val="2"/>
    <w:qFormat/>
    <w:rsid w:val="00FF163C"/>
    <w:pPr>
      <w:spacing w:before="400" w:line="340" w:lineRule="exact"/>
      <w:jc w:val="center"/>
      <w:outlineLvl w:val="0"/>
    </w:pPr>
    <w:rPr>
      <w:rFonts w:cs="Arial"/>
      <w:b/>
      <w:color w:val="23236E"/>
      <w:sz w:val="24"/>
      <w:szCs w:val="28"/>
    </w:rPr>
  </w:style>
  <w:style w:type="numbering" w:customStyle="1" w:styleId="XXXList">
    <w:name w:val="XXX_List"/>
    <w:basedOn w:val="NoList"/>
    <w:uiPriority w:val="99"/>
    <w:rsid w:val="00D9486F"/>
    <w:pPr>
      <w:numPr>
        <w:numId w:val="1"/>
      </w:numPr>
    </w:pPr>
  </w:style>
  <w:style w:type="character" w:customStyle="1" w:styleId="Heading1Char">
    <w:name w:val="Heading 1 Char"/>
    <w:link w:val="Heading1"/>
    <w:uiPriority w:val="9"/>
    <w:rsid w:val="004B6993"/>
    <w:rPr>
      <w:rFonts w:ascii="Arial" w:eastAsia="Times New Roman" w:hAnsi="Arial" w:cs="Times New Roman"/>
      <w:b/>
      <w:bCs/>
      <w:color w:val="424477"/>
      <w:sz w:val="28"/>
      <w:szCs w:val="28"/>
    </w:rPr>
  </w:style>
  <w:style w:type="paragraph" w:styleId="TOC1">
    <w:name w:val="toc 1"/>
    <w:basedOn w:val="Normal"/>
    <w:next w:val="Normal"/>
    <w:autoRedefine/>
    <w:uiPriority w:val="39"/>
    <w:unhideWhenUsed/>
    <w:rsid w:val="0099378F"/>
    <w:pPr>
      <w:spacing w:after="100"/>
    </w:pPr>
    <w:rPr>
      <w:rFonts w:ascii="Arial" w:hAnsi="Arial"/>
    </w:rPr>
  </w:style>
  <w:style w:type="paragraph" w:styleId="TOCHeading">
    <w:name w:val="TOC Heading"/>
    <w:basedOn w:val="Heading1"/>
    <w:next w:val="Normal"/>
    <w:uiPriority w:val="39"/>
    <w:unhideWhenUsed/>
    <w:qFormat/>
    <w:rsid w:val="004B6993"/>
    <w:pPr>
      <w:spacing w:line="276" w:lineRule="auto"/>
      <w:outlineLvl w:val="9"/>
    </w:pPr>
  </w:style>
  <w:style w:type="character" w:styleId="Hyperlink">
    <w:name w:val="Hyperlink"/>
    <w:uiPriority w:val="99"/>
    <w:rsid w:val="0099378F"/>
    <w:rPr>
      <w:color w:val="0000FF"/>
      <w:u w:val="single"/>
    </w:rPr>
  </w:style>
  <w:style w:type="paragraph" w:customStyle="1" w:styleId="decisionhead">
    <w:name w:val="decision head"/>
    <w:basedOn w:val="textregular"/>
    <w:uiPriority w:val="3"/>
    <w:qFormat/>
    <w:rsid w:val="00CD009F"/>
    <w:pPr>
      <w:pBdr>
        <w:top w:val="single" w:sz="24" w:space="1" w:color="B4B4C8"/>
        <w:left w:val="single" w:sz="24" w:space="4" w:color="B4B4C8"/>
        <w:bottom w:val="single" w:sz="24" w:space="1" w:color="B4B4C8"/>
        <w:right w:val="single" w:sz="24" w:space="4" w:color="B4B4C8"/>
      </w:pBdr>
      <w:shd w:val="clear" w:color="auto" w:fill="B4B4C8"/>
      <w:spacing w:after="0" w:line="260" w:lineRule="exact"/>
      <w:ind w:left="170" w:right="170"/>
    </w:pPr>
    <w:rPr>
      <w:rFonts w:ascii="Arial" w:hAnsi="Arial" w:cs="Arial"/>
      <w:b/>
      <w:color w:val="23236E"/>
      <w:sz w:val="24"/>
      <w:szCs w:val="24"/>
    </w:rPr>
  </w:style>
  <w:style w:type="numbering" w:customStyle="1" w:styleId="XXXBulletList">
    <w:name w:val="XXX_Bullet List"/>
    <w:basedOn w:val="NoList"/>
    <w:uiPriority w:val="99"/>
    <w:rsid w:val="00590A19"/>
    <w:pPr>
      <w:numPr>
        <w:numId w:val="2"/>
      </w:numPr>
    </w:pPr>
  </w:style>
  <w:style w:type="paragraph" w:customStyle="1" w:styleId="decisionbullet1">
    <w:name w:val="decision bullet 1"/>
    <w:basedOn w:val="textregular"/>
    <w:uiPriority w:val="4"/>
    <w:qFormat/>
    <w:rsid w:val="00CD009F"/>
    <w:pPr>
      <w:numPr>
        <w:numId w:val="2"/>
      </w:numPr>
      <w:pBdr>
        <w:top w:val="single" w:sz="24" w:space="0" w:color="B4B4C8"/>
        <w:left w:val="single" w:sz="24" w:space="4" w:color="B4B4C8"/>
        <w:bottom w:val="single" w:sz="24" w:space="0" w:color="B4B4C8"/>
        <w:right w:val="single" w:sz="24" w:space="4" w:color="B4B4C8"/>
      </w:pBdr>
      <w:shd w:val="clear" w:color="auto" w:fill="B4B4C8"/>
      <w:spacing w:after="0"/>
      <w:ind w:left="499" w:right="170"/>
    </w:pPr>
  </w:style>
  <w:style w:type="paragraph" w:customStyle="1" w:styleId="decisionbullet2">
    <w:name w:val="decision bullet 2"/>
    <w:basedOn w:val="textregular"/>
    <w:uiPriority w:val="4"/>
    <w:qFormat/>
    <w:rsid w:val="00B30D59"/>
    <w:pPr>
      <w:numPr>
        <w:ilvl w:val="1"/>
        <w:numId w:val="2"/>
      </w:numPr>
      <w:pBdr>
        <w:top w:val="single" w:sz="24" w:space="1" w:color="B4B4C8"/>
        <w:left w:val="single" w:sz="24" w:space="21" w:color="B4B4C8"/>
        <w:bottom w:val="single" w:sz="24" w:space="1" w:color="B4B4C8"/>
        <w:right w:val="single" w:sz="24" w:space="4" w:color="B4B4C8"/>
      </w:pBdr>
      <w:shd w:val="clear" w:color="auto" w:fill="B4B4C8"/>
      <w:spacing w:after="0"/>
      <w:ind w:left="851" w:right="170" w:hanging="369"/>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NoList"/>
    <w:uiPriority w:val="99"/>
    <w:rsid w:val="00E7480B"/>
    <w:pPr>
      <w:numPr>
        <w:numId w:val="3"/>
      </w:numPr>
    </w:pPr>
  </w:style>
  <w:style w:type="paragraph" w:customStyle="1" w:styleId="textenumeration">
    <w:name w:val="text enumeration"/>
    <w:basedOn w:val="textregular"/>
    <w:uiPriority w:val="4"/>
    <w:qFormat/>
    <w:rsid w:val="00E7480B"/>
    <w:pPr>
      <w:numPr>
        <w:numId w:val="3"/>
      </w:numPr>
      <w:contextualSpacing/>
    </w:pPr>
  </w:style>
  <w:style w:type="paragraph" w:customStyle="1" w:styleId="headline2">
    <w:name w:val="headline 2"/>
    <w:basedOn w:val="textregular"/>
    <w:uiPriority w:val="2"/>
    <w:qFormat/>
    <w:rsid w:val="00A67644"/>
    <w:pPr>
      <w:spacing w:before="240" w:line="260" w:lineRule="exact"/>
      <w:jc w:val="center"/>
      <w:outlineLvl w:val="1"/>
    </w:pPr>
    <w:rPr>
      <w:rFonts w:cs="Arial"/>
      <w:b/>
      <w:color w:val="23236E"/>
      <w:sz w:val="24"/>
      <w:szCs w:val="24"/>
    </w:rPr>
  </w:style>
  <w:style w:type="numbering" w:customStyle="1" w:styleId="XXXtextbullets">
    <w:name w:val="XXX_text bullets"/>
    <w:basedOn w:val="NoList"/>
    <w:uiPriority w:val="99"/>
    <w:rsid w:val="000961F8"/>
    <w:pPr>
      <w:numPr>
        <w:numId w:val="4"/>
      </w:numPr>
    </w:pPr>
  </w:style>
  <w:style w:type="paragraph" w:customStyle="1" w:styleId="textbullets">
    <w:name w:val="text bullets"/>
    <w:basedOn w:val="textregular"/>
    <w:uiPriority w:val="5"/>
    <w:qFormat/>
    <w:rsid w:val="000961F8"/>
    <w:pPr>
      <w:numPr>
        <w:numId w:val="4"/>
      </w:numPr>
      <w:contextualSpacing/>
    </w:pPr>
  </w:style>
  <w:style w:type="table" w:customStyle="1" w:styleId="EntsoeeinfacheTabelle">
    <w:name w:val="Entsoe | einfache Tabelle"/>
    <w:basedOn w:val="TableNormal"/>
    <w:uiPriority w:val="99"/>
    <w:qFormat/>
    <w:rsid w:val="00922A3D"/>
    <w:tblPr>
      <w:tblStyleRowBandSize w:val="1"/>
      <w:tblBorders>
        <w:insideV w:val="single" w:sz="12" w:space="0" w:color="FFFFFF"/>
      </w:tblBorders>
      <w:tblCellMar>
        <w:top w:w="28" w:type="dxa"/>
      </w:tblCellMar>
    </w:tblPr>
    <w:tblStylePr w:type="firstRow">
      <w:pPr>
        <w:wordWrap/>
        <w:spacing w:afterLines="0" w:afterAutospacing="0" w:line="340" w:lineRule="exact"/>
      </w:pPr>
      <w:rPr>
        <w:rFonts w:ascii="Arial" w:hAnsi="Arial"/>
        <w:b/>
        <w:color w:val="23236E"/>
        <w:sz w:val="28"/>
      </w:rPr>
    </w:tblStylePr>
    <w:tblStylePr w:type="band1Horz">
      <w:tblPr/>
      <w:tcPr>
        <w:shd w:val="clear" w:color="auto" w:fill="D9D9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OC3">
    <w:name w:val="toc 3"/>
    <w:basedOn w:val="Normal"/>
    <w:next w:val="Normal"/>
    <w:autoRedefine/>
    <w:uiPriority w:val="39"/>
    <w:unhideWhenUsed/>
    <w:rsid w:val="000F693C"/>
    <w:pPr>
      <w:spacing w:after="100"/>
      <w:ind w:left="440"/>
    </w:pPr>
  </w:style>
  <w:style w:type="paragraph" w:styleId="TOC2">
    <w:name w:val="toc 2"/>
    <w:basedOn w:val="Normal"/>
    <w:next w:val="Normal"/>
    <w:autoRedefine/>
    <w:uiPriority w:val="39"/>
    <w:unhideWhenUsed/>
    <w:rsid w:val="000F693C"/>
    <w:pPr>
      <w:spacing w:after="100"/>
      <w:ind w:left="220"/>
    </w:pPr>
  </w:style>
  <w:style w:type="character" w:styleId="CommentReference">
    <w:name w:val="annotation reference"/>
    <w:uiPriority w:val="99"/>
    <w:semiHidden/>
    <w:unhideWhenUsed/>
    <w:rsid w:val="00E377D1"/>
    <w:rPr>
      <w:sz w:val="16"/>
      <w:szCs w:val="16"/>
    </w:rPr>
  </w:style>
  <w:style w:type="paragraph" w:styleId="CommentText">
    <w:name w:val="annotation text"/>
    <w:basedOn w:val="Normal"/>
    <w:link w:val="CommentTextChar"/>
    <w:uiPriority w:val="99"/>
    <w:unhideWhenUsed/>
    <w:rsid w:val="00E377D1"/>
    <w:rPr>
      <w:sz w:val="20"/>
      <w:szCs w:val="20"/>
    </w:rPr>
  </w:style>
  <w:style w:type="character" w:customStyle="1" w:styleId="CommentTextChar">
    <w:name w:val="Comment Text Char"/>
    <w:link w:val="CommentText"/>
    <w:uiPriority w:val="99"/>
    <w:rsid w:val="00E377D1"/>
    <w:rPr>
      <w:sz w:val="20"/>
      <w:szCs w:val="20"/>
      <w:lang w:val="en-GB"/>
    </w:rPr>
  </w:style>
  <w:style w:type="paragraph" w:styleId="Title">
    <w:name w:val="Title"/>
    <w:basedOn w:val="Normal"/>
    <w:next w:val="Normal"/>
    <w:link w:val="TitleChar"/>
    <w:uiPriority w:val="10"/>
    <w:qFormat/>
    <w:rsid w:val="00E377D1"/>
    <w:pPr>
      <w:contextualSpacing/>
    </w:pPr>
    <w:rPr>
      <w:rFonts w:ascii="Arial" w:hAnsi="Arial"/>
      <w:spacing w:val="-10"/>
      <w:kern w:val="28"/>
      <w:sz w:val="56"/>
      <w:szCs w:val="56"/>
      <w:lang w:val="fi-FI"/>
    </w:rPr>
  </w:style>
  <w:style w:type="character" w:customStyle="1" w:styleId="TitleChar">
    <w:name w:val="Title Char"/>
    <w:link w:val="Title"/>
    <w:uiPriority w:val="10"/>
    <w:rsid w:val="00E377D1"/>
    <w:rPr>
      <w:rFonts w:ascii="Arial" w:eastAsia="Times New Roman" w:hAnsi="Arial" w:cs="Times New Roman"/>
      <w:spacing w:val="-10"/>
      <w:kern w:val="28"/>
      <w:sz w:val="56"/>
      <w:szCs w:val="56"/>
      <w:lang w:val="fi-FI"/>
    </w:rPr>
  </w:style>
  <w:style w:type="paragraph" w:styleId="FootnoteText">
    <w:name w:val="footnote text"/>
    <w:basedOn w:val="Normal"/>
    <w:link w:val="FootnoteTextChar"/>
    <w:uiPriority w:val="99"/>
    <w:unhideWhenUsed/>
    <w:rsid w:val="006A737C"/>
    <w:rPr>
      <w:sz w:val="20"/>
      <w:szCs w:val="20"/>
    </w:rPr>
  </w:style>
  <w:style w:type="character" w:customStyle="1" w:styleId="FootnoteTextChar">
    <w:name w:val="Footnote Text Char"/>
    <w:link w:val="FootnoteText"/>
    <w:uiPriority w:val="99"/>
    <w:rsid w:val="006A737C"/>
    <w:rPr>
      <w:sz w:val="20"/>
      <w:szCs w:val="20"/>
      <w:lang w:val="en-GB"/>
    </w:rPr>
  </w:style>
  <w:style w:type="character" w:styleId="FootnoteReference">
    <w:name w:val="footnote reference"/>
    <w:uiPriority w:val="99"/>
    <w:semiHidden/>
    <w:unhideWhenUsed/>
    <w:rsid w:val="006A737C"/>
    <w:rPr>
      <w:vertAlign w:val="superscript"/>
    </w:rPr>
  </w:style>
  <w:style w:type="paragraph" w:styleId="CommentSubject">
    <w:name w:val="annotation subject"/>
    <w:basedOn w:val="CommentText"/>
    <w:next w:val="CommentText"/>
    <w:link w:val="CommentSubjectChar"/>
    <w:uiPriority w:val="99"/>
    <w:semiHidden/>
    <w:unhideWhenUsed/>
    <w:rsid w:val="006A737C"/>
    <w:pPr>
      <w:spacing w:after="160"/>
    </w:pPr>
    <w:rPr>
      <w:b/>
      <w:bCs/>
      <w:lang w:val="fi-FI"/>
    </w:rPr>
  </w:style>
  <w:style w:type="character" w:customStyle="1" w:styleId="CommentSubjectChar">
    <w:name w:val="Comment Subject Char"/>
    <w:link w:val="CommentSubject"/>
    <w:uiPriority w:val="99"/>
    <w:semiHidden/>
    <w:rsid w:val="006A737C"/>
    <w:rPr>
      <w:b/>
      <w:bCs/>
      <w:sz w:val="20"/>
      <w:szCs w:val="20"/>
      <w:lang w:val="fi-FI"/>
    </w:rPr>
  </w:style>
  <w:style w:type="character" w:customStyle="1" w:styleId="KommentintekstiChar">
    <w:name w:val="Kommentin teksti Char"/>
    <w:uiPriority w:val="99"/>
    <w:rsid w:val="006A737C"/>
    <w:rPr>
      <w:sz w:val="20"/>
      <w:szCs w:val="20"/>
    </w:rPr>
  </w:style>
  <w:style w:type="paragraph" w:styleId="ListParagraph">
    <w:name w:val="List Paragraph"/>
    <w:aliases w:val="Odstavec1,Puce"/>
    <w:basedOn w:val="Normal"/>
    <w:link w:val="ListParagraphChar"/>
    <w:uiPriority w:val="34"/>
    <w:qFormat/>
    <w:rsid w:val="004038AE"/>
    <w:pPr>
      <w:spacing w:after="160" w:line="259" w:lineRule="auto"/>
      <w:ind w:left="720"/>
      <w:contextualSpacing/>
      <w:jc w:val="both"/>
    </w:pPr>
    <w:rPr>
      <w:lang w:val="fi-FI"/>
    </w:rPr>
  </w:style>
  <w:style w:type="paragraph" w:customStyle="1" w:styleId="Default">
    <w:name w:val="Default"/>
    <w:rsid w:val="006A737C"/>
    <w:pPr>
      <w:autoSpaceDE w:val="0"/>
      <w:autoSpaceDN w:val="0"/>
      <w:adjustRightInd w:val="0"/>
    </w:pPr>
    <w:rPr>
      <w:rFonts w:ascii="EUAlbertina" w:hAnsi="EUAlbertina" w:cs="EUAlbertina"/>
      <w:color w:val="000000"/>
      <w:sz w:val="24"/>
      <w:szCs w:val="24"/>
      <w:lang w:val="de-AT" w:eastAsia="en-US"/>
    </w:rPr>
  </w:style>
  <w:style w:type="character" w:customStyle="1" w:styleId="AlaviitteentekstiChar">
    <w:name w:val="Alaviitteen teksti Char"/>
    <w:uiPriority w:val="99"/>
    <w:semiHidden/>
    <w:rsid w:val="006A737C"/>
    <w:rPr>
      <w:sz w:val="20"/>
      <w:szCs w:val="20"/>
    </w:rPr>
  </w:style>
  <w:style w:type="character" w:customStyle="1" w:styleId="descriptionid1siteid2571">
    <w:name w:val="descriptionid1siteid2571"/>
    <w:rsid w:val="006A737C"/>
    <w:rPr>
      <w:rFonts w:ascii="Arial" w:hAnsi="Arial" w:cs="Arial" w:hint="default"/>
      <w:color w:val="666666"/>
      <w:sz w:val="18"/>
      <w:szCs w:val="18"/>
    </w:rPr>
  </w:style>
  <w:style w:type="paragraph" w:customStyle="1" w:styleId="Normln1">
    <w:name w:val="Normální1"/>
    <w:aliases w:val="ČEPS Arial"/>
    <w:basedOn w:val="Normal"/>
    <w:rsid w:val="006A737C"/>
    <w:rPr>
      <w:rFonts w:ascii="Calibri" w:hAnsi="Calibri"/>
      <w:lang w:val="pl-PL"/>
    </w:rPr>
  </w:style>
  <w:style w:type="character" w:styleId="FollowedHyperlink">
    <w:name w:val="FollowedHyperlink"/>
    <w:uiPriority w:val="99"/>
    <w:semiHidden/>
    <w:unhideWhenUsed/>
    <w:rsid w:val="006A737C"/>
    <w:rPr>
      <w:color w:val="800080"/>
      <w:u w:val="single"/>
    </w:rPr>
  </w:style>
  <w:style w:type="paragraph" w:styleId="Revision">
    <w:name w:val="Revision"/>
    <w:hidden/>
    <w:uiPriority w:val="99"/>
    <w:semiHidden/>
    <w:rsid w:val="006A737C"/>
    <w:rPr>
      <w:sz w:val="22"/>
      <w:szCs w:val="22"/>
      <w:lang w:val="fi-FI" w:eastAsia="en-US"/>
    </w:rPr>
  </w:style>
  <w:style w:type="character" w:customStyle="1" w:styleId="textregularZchn">
    <w:name w:val="text regular Zchn"/>
    <w:link w:val="textregular"/>
    <w:locked/>
    <w:rsid w:val="00FA1C08"/>
    <w:rPr>
      <w:lang w:val="en-GB"/>
    </w:rPr>
  </w:style>
  <w:style w:type="character" w:customStyle="1" w:styleId="ListParagraphChar">
    <w:name w:val="List Paragraph Char"/>
    <w:aliases w:val="Odstavec1 Char,Puce Char"/>
    <w:link w:val="ListParagraph"/>
    <w:uiPriority w:val="34"/>
    <w:locked/>
    <w:rsid w:val="00C64F44"/>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128552">
      <w:bodyDiv w:val="1"/>
      <w:marLeft w:val="0"/>
      <w:marRight w:val="0"/>
      <w:marTop w:val="0"/>
      <w:marBottom w:val="0"/>
      <w:divBdr>
        <w:top w:val="none" w:sz="0" w:space="0" w:color="auto"/>
        <w:left w:val="none" w:sz="0" w:space="0" w:color="auto"/>
        <w:bottom w:val="none" w:sz="0" w:space="0" w:color="auto"/>
        <w:right w:val="none" w:sz="0" w:space="0" w:color="auto"/>
      </w:divBdr>
    </w:div>
    <w:div w:id="761298046">
      <w:bodyDiv w:val="1"/>
      <w:marLeft w:val="0"/>
      <w:marRight w:val="0"/>
      <w:marTop w:val="0"/>
      <w:marBottom w:val="0"/>
      <w:divBdr>
        <w:top w:val="none" w:sz="0" w:space="0" w:color="auto"/>
        <w:left w:val="none" w:sz="0" w:space="0" w:color="auto"/>
        <w:bottom w:val="none" w:sz="0" w:space="0" w:color="auto"/>
        <w:right w:val="none" w:sz="0" w:space="0" w:color="auto"/>
      </w:divBdr>
    </w:div>
    <w:div w:id="1065643764">
      <w:bodyDiv w:val="1"/>
      <w:marLeft w:val="0"/>
      <w:marRight w:val="0"/>
      <w:marTop w:val="0"/>
      <w:marBottom w:val="0"/>
      <w:divBdr>
        <w:top w:val="none" w:sz="0" w:space="0" w:color="auto"/>
        <w:left w:val="none" w:sz="0" w:space="0" w:color="auto"/>
        <w:bottom w:val="none" w:sz="0" w:space="0" w:color="auto"/>
        <w:right w:val="none" w:sz="0" w:space="0" w:color="auto"/>
      </w:divBdr>
    </w:div>
    <w:div w:id="1133911758">
      <w:bodyDiv w:val="1"/>
      <w:marLeft w:val="0"/>
      <w:marRight w:val="0"/>
      <w:marTop w:val="0"/>
      <w:marBottom w:val="0"/>
      <w:divBdr>
        <w:top w:val="none" w:sz="0" w:space="0" w:color="auto"/>
        <w:left w:val="none" w:sz="0" w:space="0" w:color="auto"/>
        <w:bottom w:val="none" w:sz="0" w:space="0" w:color="auto"/>
        <w:right w:val="none" w:sz="0" w:space="0" w:color="auto"/>
      </w:divBdr>
    </w:div>
    <w:div w:id="1170565438">
      <w:bodyDiv w:val="1"/>
      <w:marLeft w:val="0"/>
      <w:marRight w:val="0"/>
      <w:marTop w:val="0"/>
      <w:marBottom w:val="0"/>
      <w:divBdr>
        <w:top w:val="none" w:sz="0" w:space="0" w:color="auto"/>
        <w:left w:val="none" w:sz="0" w:space="0" w:color="auto"/>
        <w:bottom w:val="none" w:sz="0" w:space="0" w:color="auto"/>
        <w:right w:val="none" w:sz="0" w:space="0" w:color="auto"/>
      </w:divBdr>
    </w:div>
    <w:div w:id="1487933373">
      <w:bodyDiv w:val="1"/>
      <w:marLeft w:val="0"/>
      <w:marRight w:val="0"/>
      <w:marTop w:val="0"/>
      <w:marBottom w:val="0"/>
      <w:divBdr>
        <w:top w:val="none" w:sz="0" w:space="0" w:color="auto"/>
        <w:left w:val="none" w:sz="0" w:space="0" w:color="auto"/>
        <w:bottom w:val="none" w:sz="0" w:space="0" w:color="auto"/>
        <w:right w:val="none" w:sz="0" w:space="0" w:color="auto"/>
      </w:divBdr>
    </w:div>
    <w:div w:id="1627152331">
      <w:bodyDiv w:val="1"/>
      <w:marLeft w:val="0"/>
      <w:marRight w:val="0"/>
      <w:marTop w:val="0"/>
      <w:marBottom w:val="0"/>
      <w:divBdr>
        <w:top w:val="none" w:sz="0" w:space="0" w:color="auto"/>
        <w:left w:val="none" w:sz="0" w:space="0" w:color="auto"/>
        <w:bottom w:val="none" w:sz="0" w:space="0" w:color="auto"/>
        <w:right w:val="none" w:sz="0" w:space="0" w:color="auto"/>
      </w:divBdr>
    </w:div>
    <w:div w:id="1745567611">
      <w:bodyDiv w:val="1"/>
      <w:marLeft w:val="0"/>
      <w:marRight w:val="0"/>
      <w:marTop w:val="0"/>
      <w:marBottom w:val="0"/>
      <w:divBdr>
        <w:top w:val="none" w:sz="0" w:space="0" w:color="auto"/>
        <w:left w:val="none" w:sz="0" w:space="0" w:color="auto"/>
        <w:bottom w:val="none" w:sz="0" w:space="0" w:color="auto"/>
        <w:right w:val="none" w:sz="0" w:space="0" w:color="auto"/>
      </w:divBdr>
    </w:div>
    <w:div w:id="20725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vveramyeva\AppData\Roaming\Microsoft\Templates\ENTSOE\140121_ENTSO-E_Template_Report_no%20LSPp.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DA7405EF9984E44A8D7B91B44A55172" ma:contentTypeVersion="11" ma:contentTypeDescription="Opprett et nytt dokument." ma:contentTypeScope="" ma:versionID="4fcb71b2c719cd276ce111061970ccec">
  <xsd:schema xmlns:xsd="http://www.w3.org/2001/XMLSchema" xmlns:xs="http://www.w3.org/2001/XMLSchema" xmlns:p="http://schemas.microsoft.com/office/2006/metadata/properties" xmlns:ns2="babdc7bb-41e3-4ebe-bfc0-c35417269e87" xmlns:ns3="da7ded63-3345-4a18-a14a-86c87ef3b59d" targetNamespace="http://schemas.microsoft.com/office/2006/metadata/properties" ma:root="true" ma:fieldsID="89310d6123c5f1a7d3b5517d5a8a6e5d" ns2:_="" ns3:_="">
    <xsd:import namespace="babdc7bb-41e3-4ebe-bfc0-c35417269e87"/>
    <xsd:import namespace="da7ded63-3345-4a18-a14a-86c87ef3b5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dc7bb-41e3-4ebe-bfc0-c35417269e8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ded63-3345-4a18-a14a-86c87ef3b5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6451B-940A-4434-9C5A-7158D40C041F}">
  <ds:schemaRefs>
    <ds:schemaRef ds:uri="http://schemas.openxmlformats.org/officeDocument/2006/bibliography"/>
  </ds:schemaRefs>
</ds:datastoreItem>
</file>

<file path=customXml/itemProps2.xml><?xml version="1.0" encoding="utf-8"?>
<ds:datastoreItem xmlns:ds="http://schemas.openxmlformats.org/officeDocument/2006/customXml" ds:itemID="{9BF28308-824A-47CB-ADF7-394B864DD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dc7bb-41e3-4ebe-bfc0-c35417269e87"/>
    <ds:schemaRef ds:uri="da7ded63-3345-4a18-a14a-86c87ef3b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13020-ED37-46CE-86BF-CA854E2F0300}">
  <ds:schemaRefs>
    <ds:schemaRef ds:uri="http://schemas.microsoft.com/sharepoint/v3/contenttype/forms"/>
  </ds:schemaRefs>
</ds:datastoreItem>
</file>

<file path=customXml/itemProps4.xml><?xml version="1.0" encoding="utf-8"?>
<ds:datastoreItem xmlns:ds="http://schemas.openxmlformats.org/officeDocument/2006/customXml" ds:itemID="{93F635EE-05FB-468C-B07B-C90F3B7828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140121_ENTSO-E_Template_Report_no LSPp.dotx</Template>
  <TotalTime>1</TotalTime>
  <Pages>3</Pages>
  <Words>2936</Words>
  <Characters>23782</Characters>
  <Application>Microsoft Office Word</Application>
  <DocSecurity>0</DocSecurity>
  <Lines>198</Lines>
  <Paragraphs>53</Paragraphs>
  <ScaleCrop>false</ScaleCrop>
  <HeadingPairs>
    <vt:vector size="18" baseType="variant">
      <vt:variant>
        <vt:lpstr>Tittel</vt:lpstr>
      </vt:variant>
      <vt:variant>
        <vt:i4>1</vt:i4>
      </vt:variant>
      <vt:variant>
        <vt:lpstr>Otsikko</vt:lpstr>
      </vt:variant>
      <vt:variant>
        <vt:i4>1</vt:i4>
      </vt:variant>
      <vt:variant>
        <vt:lpstr>Title</vt:lpstr>
      </vt:variant>
      <vt:variant>
        <vt:i4>1</vt:i4>
      </vt:variant>
      <vt:variant>
        <vt:lpstr>Titel</vt:lpstr>
      </vt:variant>
      <vt:variant>
        <vt:i4>1</vt:i4>
      </vt:variant>
      <vt:variant>
        <vt:lpstr>Rubrik</vt:lpstr>
      </vt:variant>
      <vt:variant>
        <vt:i4>1</vt:i4>
      </vt:variant>
      <vt:variant>
        <vt:lpstr>Cím</vt:lpstr>
      </vt:variant>
      <vt:variant>
        <vt:i4>1</vt:i4>
      </vt:variant>
      <vt:variant>
        <vt:lpstr>Título</vt:lpstr>
      </vt:variant>
      <vt:variant>
        <vt:i4>1</vt:i4>
      </vt:variant>
      <vt:variant>
        <vt:lpstr>Název</vt:lpstr>
      </vt:variant>
      <vt:variant>
        <vt:i4>1</vt:i4>
      </vt:variant>
      <vt:variant>
        <vt:lpstr>Tytuł</vt:lpstr>
      </vt:variant>
      <vt:variant>
        <vt:i4>1</vt:i4>
      </vt:variant>
    </vt:vector>
  </HeadingPairs>
  <TitlesOfParts>
    <vt:vector size="9" baseType="lpstr">
      <vt:lpstr>All TSOs’ of CCR Nordic proposal for a methodology for a market-based allocation process of cross-zonal capacity for the exchange of balancing capacity in accordance with Article 41(1) of the Commission Regulation (EU) 2017/2195 of 23 November 2017</vt:lpstr>
      <vt:lpstr>All TSOs’ of CCR Nordic proposal for a methodology for a market-based allocation process of cross-zonal capacity for the exchange of balancing capacity in accordance with Article 41(1) of the Commission Regulation (EU) 2017/2195 of 23 November 2017</vt:lpstr>
      <vt:lpstr>All TSOs’ of CCR Nordic proposal for a methodology for a market-based allocation process of cross-zonal capacity for the exchange of balancing capacity in accordance with Article 41(1) of the Commission Regulation (EU) 2017/2195 of 23 November 2017</vt:lpstr>
      <vt:lpstr>All TSOs’ of CCR Nordic proposal for a methodology for a market-based allocation process of cross-zonal capacity for the exchange of balancing capacity in accordance with Article 41(1) of the Commission Regulation (EU) 2017/2195 of 23 November 2017</vt:lpstr>
      <vt:lpstr>Energinet, Fingrid, Statnett and Svenska kraftnät proposal for the methodology for a market-based allocation process of cross-zonal capacity for the exchange of aFRR balancing capacity in accordance with Article 38(1) of the Commission Regulation (EU) 201</vt:lpstr>
      <vt:lpstr>All TSOs’ proposal for the day-ahead firmness deadline (DAFD) in accordance with Article 69 of the Commission Regulation (EU) 2015/1222 of 24 July 2015 establishing a guideline on capacity allocation and congestion management</vt:lpstr>
      <vt:lpstr>All TSOs’ proposal for the day-ahead firmness deadline (DAFD) in accordance with Article 69 of the Commission Regulation (EU) 2015/1222 of 24 July 2015 establishing a guideline on capacity allocation and congestion management</vt:lpstr>
      <vt:lpstr>All TSOs’ proposal for Capacity Calculation Regions (CCRs)</vt:lpstr>
      <vt:lpstr>All TSOs’ proposal for Capacity Calculation Regions (CCRs)</vt:lpstr>
    </vt:vector>
  </TitlesOfParts>
  <Company>HP</Company>
  <LinksUpToDate>false</LinksUpToDate>
  <CharactersWithSpaces>26665</CharactersWithSpaces>
  <SharedDoc>false</SharedDoc>
  <HLinks>
    <vt:vector size="96" baseType="variant">
      <vt:variant>
        <vt:i4>3080197</vt:i4>
      </vt:variant>
      <vt:variant>
        <vt:i4>92</vt:i4>
      </vt:variant>
      <vt:variant>
        <vt:i4>0</vt:i4>
      </vt:variant>
      <vt:variant>
        <vt:i4>5</vt:i4>
      </vt:variant>
      <vt:variant>
        <vt:lpwstr/>
      </vt:variant>
      <vt:variant>
        <vt:lpwstr>_Toc5979787</vt:lpwstr>
      </vt:variant>
      <vt:variant>
        <vt:i4>3080197</vt:i4>
      </vt:variant>
      <vt:variant>
        <vt:i4>86</vt:i4>
      </vt:variant>
      <vt:variant>
        <vt:i4>0</vt:i4>
      </vt:variant>
      <vt:variant>
        <vt:i4>5</vt:i4>
      </vt:variant>
      <vt:variant>
        <vt:lpwstr/>
      </vt:variant>
      <vt:variant>
        <vt:lpwstr>_Toc5979786</vt:lpwstr>
      </vt:variant>
      <vt:variant>
        <vt:i4>3080197</vt:i4>
      </vt:variant>
      <vt:variant>
        <vt:i4>80</vt:i4>
      </vt:variant>
      <vt:variant>
        <vt:i4>0</vt:i4>
      </vt:variant>
      <vt:variant>
        <vt:i4>5</vt:i4>
      </vt:variant>
      <vt:variant>
        <vt:lpwstr/>
      </vt:variant>
      <vt:variant>
        <vt:lpwstr>_Toc5979785</vt:lpwstr>
      </vt:variant>
      <vt:variant>
        <vt:i4>3080197</vt:i4>
      </vt:variant>
      <vt:variant>
        <vt:i4>74</vt:i4>
      </vt:variant>
      <vt:variant>
        <vt:i4>0</vt:i4>
      </vt:variant>
      <vt:variant>
        <vt:i4>5</vt:i4>
      </vt:variant>
      <vt:variant>
        <vt:lpwstr/>
      </vt:variant>
      <vt:variant>
        <vt:lpwstr>_Toc5979784</vt:lpwstr>
      </vt:variant>
      <vt:variant>
        <vt:i4>3080197</vt:i4>
      </vt:variant>
      <vt:variant>
        <vt:i4>68</vt:i4>
      </vt:variant>
      <vt:variant>
        <vt:i4>0</vt:i4>
      </vt:variant>
      <vt:variant>
        <vt:i4>5</vt:i4>
      </vt:variant>
      <vt:variant>
        <vt:lpwstr/>
      </vt:variant>
      <vt:variant>
        <vt:lpwstr>_Toc5979783</vt:lpwstr>
      </vt:variant>
      <vt:variant>
        <vt:i4>3080197</vt:i4>
      </vt:variant>
      <vt:variant>
        <vt:i4>62</vt:i4>
      </vt:variant>
      <vt:variant>
        <vt:i4>0</vt:i4>
      </vt:variant>
      <vt:variant>
        <vt:i4>5</vt:i4>
      </vt:variant>
      <vt:variant>
        <vt:lpwstr/>
      </vt:variant>
      <vt:variant>
        <vt:lpwstr>_Toc5979782</vt:lpwstr>
      </vt:variant>
      <vt:variant>
        <vt:i4>3080197</vt:i4>
      </vt:variant>
      <vt:variant>
        <vt:i4>56</vt:i4>
      </vt:variant>
      <vt:variant>
        <vt:i4>0</vt:i4>
      </vt:variant>
      <vt:variant>
        <vt:i4>5</vt:i4>
      </vt:variant>
      <vt:variant>
        <vt:lpwstr/>
      </vt:variant>
      <vt:variant>
        <vt:lpwstr>_Toc5979781</vt:lpwstr>
      </vt:variant>
      <vt:variant>
        <vt:i4>3080197</vt:i4>
      </vt:variant>
      <vt:variant>
        <vt:i4>50</vt:i4>
      </vt:variant>
      <vt:variant>
        <vt:i4>0</vt:i4>
      </vt:variant>
      <vt:variant>
        <vt:i4>5</vt:i4>
      </vt:variant>
      <vt:variant>
        <vt:lpwstr/>
      </vt:variant>
      <vt:variant>
        <vt:lpwstr>_Toc5979780</vt:lpwstr>
      </vt:variant>
      <vt:variant>
        <vt:i4>2097157</vt:i4>
      </vt:variant>
      <vt:variant>
        <vt:i4>44</vt:i4>
      </vt:variant>
      <vt:variant>
        <vt:i4>0</vt:i4>
      </vt:variant>
      <vt:variant>
        <vt:i4>5</vt:i4>
      </vt:variant>
      <vt:variant>
        <vt:lpwstr/>
      </vt:variant>
      <vt:variant>
        <vt:lpwstr>_Toc5979779</vt:lpwstr>
      </vt:variant>
      <vt:variant>
        <vt:i4>2097157</vt:i4>
      </vt:variant>
      <vt:variant>
        <vt:i4>38</vt:i4>
      </vt:variant>
      <vt:variant>
        <vt:i4>0</vt:i4>
      </vt:variant>
      <vt:variant>
        <vt:i4>5</vt:i4>
      </vt:variant>
      <vt:variant>
        <vt:lpwstr/>
      </vt:variant>
      <vt:variant>
        <vt:lpwstr>_Toc5979778</vt:lpwstr>
      </vt:variant>
      <vt:variant>
        <vt:i4>2097157</vt:i4>
      </vt:variant>
      <vt:variant>
        <vt:i4>32</vt:i4>
      </vt:variant>
      <vt:variant>
        <vt:i4>0</vt:i4>
      </vt:variant>
      <vt:variant>
        <vt:i4>5</vt:i4>
      </vt:variant>
      <vt:variant>
        <vt:lpwstr/>
      </vt:variant>
      <vt:variant>
        <vt:lpwstr>_Toc5979777</vt:lpwstr>
      </vt:variant>
      <vt:variant>
        <vt:i4>2097157</vt:i4>
      </vt:variant>
      <vt:variant>
        <vt:i4>26</vt:i4>
      </vt:variant>
      <vt:variant>
        <vt:i4>0</vt:i4>
      </vt:variant>
      <vt:variant>
        <vt:i4>5</vt:i4>
      </vt:variant>
      <vt:variant>
        <vt:lpwstr/>
      </vt:variant>
      <vt:variant>
        <vt:lpwstr>_Toc5979776</vt:lpwstr>
      </vt:variant>
      <vt:variant>
        <vt:i4>2097157</vt:i4>
      </vt:variant>
      <vt:variant>
        <vt:i4>20</vt:i4>
      </vt:variant>
      <vt:variant>
        <vt:i4>0</vt:i4>
      </vt:variant>
      <vt:variant>
        <vt:i4>5</vt:i4>
      </vt:variant>
      <vt:variant>
        <vt:lpwstr/>
      </vt:variant>
      <vt:variant>
        <vt:lpwstr>_Toc5979775</vt:lpwstr>
      </vt:variant>
      <vt:variant>
        <vt:i4>2097157</vt:i4>
      </vt:variant>
      <vt:variant>
        <vt:i4>14</vt:i4>
      </vt:variant>
      <vt:variant>
        <vt:i4>0</vt:i4>
      </vt:variant>
      <vt:variant>
        <vt:i4>5</vt:i4>
      </vt:variant>
      <vt:variant>
        <vt:lpwstr/>
      </vt:variant>
      <vt:variant>
        <vt:lpwstr>_Toc5979774</vt:lpwstr>
      </vt:variant>
      <vt:variant>
        <vt:i4>2097157</vt:i4>
      </vt:variant>
      <vt:variant>
        <vt:i4>8</vt:i4>
      </vt:variant>
      <vt:variant>
        <vt:i4>0</vt:i4>
      </vt:variant>
      <vt:variant>
        <vt:i4>5</vt:i4>
      </vt:variant>
      <vt:variant>
        <vt:lpwstr/>
      </vt:variant>
      <vt:variant>
        <vt:lpwstr>_Toc5979773</vt:lpwstr>
      </vt:variant>
      <vt:variant>
        <vt:i4>2097157</vt:i4>
      </vt:variant>
      <vt:variant>
        <vt:i4>2</vt:i4>
      </vt:variant>
      <vt:variant>
        <vt:i4>0</vt:i4>
      </vt:variant>
      <vt:variant>
        <vt:i4>5</vt:i4>
      </vt:variant>
      <vt:variant>
        <vt:lpwstr/>
      </vt:variant>
      <vt:variant>
        <vt:lpwstr>_Toc5979772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TSOs’ of CCR Nordic proposal for a methodology for a market-based allocation process of cross-zonal capacity for the exchange of balancing capacity in accordance with Article 41(1) of the Commission Regulation (EU) 2017/2195 of 23 November 2017</dc:title>
  <dc:subject/>
  <dc:creator>Volha Veramyeva</dc:creator>
  <cp:keywords>DAFD</cp:keywords>
  <cp:lastModifiedBy>Hirvonen Ritva</cp:lastModifiedBy>
  <cp:revision>2</cp:revision>
  <cp:lastPrinted>2019-12-10T09:20:00Z</cp:lastPrinted>
  <dcterms:created xsi:type="dcterms:W3CDTF">2020-10-06T13:37:00Z</dcterms:created>
  <dcterms:modified xsi:type="dcterms:W3CDTF">2020-10-06T13:37:00Z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0x0101002DA7405EF9984E44A8D7B91B44A55172</vt:lpwstr>
  </property>
  <property fmtid="{D5CDD505-2E9C-101B-9397-08002B2CF9AE}" pid="4" name="TaxKeyword">
    <vt:lpwstr>1571;#DAFD|9e4f8ea4-3fcb-4dc8-9a4a-5500079119a0</vt:lpwstr>
  </property>
  <property fmtid="{D5CDD505-2E9C-101B-9397-08002B2CF9AE}" pid="5" name="m21e1f176c4a4ad491d679d83442a8a3">
    <vt:lpwstr/>
  </property>
  <property fmtid="{D5CDD505-2E9C-101B-9397-08002B2CF9AE}" pid="6" name="b">
    <vt:lpwstr/>
  </property>
  <property fmtid="{D5CDD505-2E9C-101B-9397-08002B2CF9AE}" pid="7" name="MSIP_Label_55b74f4c-7570-4ac9-8413-c450456f7dc6_Enabled">
    <vt:lpwstr>True</vt:lpwstr>
  </property>
  <property fmtid="{D5CDD505-2E9C-101B-9397-08002B2CF9AE}" pid="8" name="MSIP_Label_55b74f4c-7570-4ac9-8413-c450456f7dc6_SiteId">
    <vt:lpwstr>a8d61462-f252-44b2-bf6a-d7231960c041</vt:lpwstr>
  </property>
  <property fmtid="{D5CDD505-2E9C-101B-9397-08002B2CF9AE}" pid="9" name="MSIP_Label_55b74f4c-7570-4ac9-8413-c450456f7dc6_Owner">
    <vt:lpwstr>Finn.Pettersen@statnett.no</vt:lpwstr>
  </property>
  <property fmtid="{D5CDD505-2E9C-101B-9397-08002B2CF9AE}" pid="10" name="MSIP_Label_55b74f4c-7570-4ac9-8413-c450456f7dc6_SetDate">
    <vt:lpwstr>2019-04-12T14:41:46.0372630Z</vt:lpwstr>
  </property>
  <property fmtid="{D5CDD505-2E9C-101B-9397-08002B2CF9AE}" pid="11" name="MSIP_Label_55b74f4c-7570-4ac9-8413-c450456f7dc6_Name">
    <vt:lpwstr>Statnett intern</vt:lpwstr>
  </property>
  <property fmtid="{D5CDD505-2E9C-101B-9397-08002B2CF9AE}" pid="12" name="MSIP_Label_55b74f4c-7570-4ac9-8413-c450456f7dc6_Application">
    <vt:lpwstr>Microsoft Azure Information Protection</vt:lpwstr>
  </property>
  <property fmtid="{D5CDD505-2E9C-101B-9397-08002B2CF9AE}" pid="13" name="MSIP_Label_55b74f4c-7570-4ac9-8413-c450456f7dc6_Extended_MSFT_Method">
    <vt:lpwstr>Manual</vt:lpwstr>
  </property>
  <property fmtid="{D5CDD505-2E9C-101B-9397-08002B2CF9AE}" pid="14" name="Sensitivity">
    <vt:lpwstr>Statnett intern</vt:lpwstr>
  </property>
</Properties>
</file>