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topFromText="5528" w:vertAnchor="page" w:horzAnchor="page" w:tblpX="1362" w:tblpY="5104"/>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9524"/>
      </w:tblGrid>
      <w:tr w:rsidR="00C46743" w:rsidRPr="00370ACD" w14:paraId="2A89DAD4" w14:textId="77777777" w:rsidTr="007144CC">
        <w:tc>
          <w:tcPr>
            <w:tcW w:w="9524" w:type="dxa"/>
            <w:tcMar>
              <w:top w:w="198" w:type="dxa"/>
            </w:tcMar>
          </w:tcPr>
          <w:bookmarkStart w:id="0" w:name="_GoBack"/>
          <w:bookmarkEnd w:id="0"/>
          <w:p w14:paraId="617D9A00" w14:textId="62491468" w:rsidR="00696EBB" w:rsidRPr="00FB0677" w:rsidRDefault="00C232EF" w:rsidP="0033601E">
            <w:pPr>
              <w:pStyle w:val="headlineheader"/>
              <w:framePr w:hSpace="0" w:vSpace="0" w:wrap="auto" w:vAnchor="margin" w:hAnchor="text" w:xAlign="left" w:yAlign="inline"/>
              <w:spacing w:before="0" w:beforeAutospacing="0" w:after="120" w:afterAutospacing="0"/>
              <w:rPr>
                <w:rFonts w:asciiTheme="minorHAnsi" w:hAnsiTheme="minorHAnsi"/>
                <w:color w:val="202073"/>
              </w:rPr>
            </w:pPr>
            <w:sdt>
              <w:sdtPr>
                <w:rPr>
                  <w:color w:val="202073"/>
                </w:rPr>
                <w:alias w:val="Titel"/>
                <w:tag w:val="Titel"/>
                <w:id w:val="32412703"/>
                <w:placeholder>
                  <w:docPart w:val="DD2177B848EC4D8DAAF49E065A155815"/>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4F235A" w:rsidRPr="00884D32">
                  <w:rPr>
                    <w:color w:val="202073"/>
                  </w:rPr>
                  <w:t>Core CCR TSOs’ Methodology for an allocation process of cross-zonal capacity for the exchange of balancing capacity or sharing of reserves based on economic efficiency analysis in accordance with article 42 of the Commission Regulation on (EU) 2017/2195 of 23 November 2017 establishing a guideline on electricity balancing</w:t>
                </w:r>
              </w:sdtContent>
            </w:sdt>
          </w:p>
        </w:tc>
      </w:tr>
      <w:tr w:rsidR="00C46743" w:rsidRPr="00370ACD" w14:paraId="66EF0DD0" w14:textId="77777777" w:rsidTr="00773262">
        <w:tc>
          <w:tcPr>
            <w:tcW w:w="9524" w:type="dxa"/>
            <w:tcMar>
              <w:top w:w="198" w:type="dxa"/>
            </w:tcMar>
            <w:vAlign w:val="center"/>
          </w:tcPr>
          <w:p w14:paraId="7DA9DA14" w14:textId="3FF3540E" w:rsidR="00BF6165" w:rsidRDefault="00564561" w:rsidP="00647B80">
            <w:pPr>
              <w:pStyle w:val="headlineheader"/>
              <w:framePr w:hSpace="0" w:vSpace="0" w:wrap="auto" w:vAnchor="margin" w:hAnchor="text" w:xAlign="left" w:yAlign="inline"/>
              <w:spacing w:before="0" w:beforeAutospacing="0" w:after="120" w:afterAutospacing="0"/>
            </w:pPr>
            <w:r>
              <w:t>20 September 2019</w:t>
            </w:r>
          </w:p>
          <w:p w14:paraId="74DFDCD8" w14:textId="254BFDC9" w:rsidR="008718E9" w:rsidRDefault="008718E9" w:rsidP="00647B80">
            <w:pPr>
              <w:pStyle w:val="headlineheader"/>
              <w:framePr w:hSpace="0" w:vSpace="0" w:wrap="auto" w:vAnchor="margin" w:hAnchor="text" w:xAlign="left" w:yAlign="inline"/>
              <w:spacing w:before="0" w:beforeAutospacing="0" w:after="120" w:afterAutospacing="0"/>
            </w:pPr>
            <w:r>
              <w:t>For public consultation</w:t>
            </w:r>
          </w:p>
          <w:p w14:paraId="059CAEEB" w14:textId="77AC7A22" w:rsidR="008718E9" w:rsidRPr="00370ACD" w:rsidRDefault="008718E9" w:rsidP="00647B80">
            <w:pPr>
              <w:pStyle w:val="headlineheader"/>
              <w:framePr w:hSpace="0" w:vSpace="0" w:wrap="auto" w:vAnchor="margin" w:hAnchor="text" w:xAlign="left" w:yAlign="inline"/>
              <w:spacing w:before="0" w:beforeAutospacing="0" w:after="120" w:afterAutospacing="0"/>
            </w:pPr>
          </w:p>
        </w:tc>
      </w:tr>
      <w:tr w:rsidR="00C46743" w:rsidRPr="00370ACD" w14:paraId="23A5D46A" w14:textId="77777777" w:rsidTr="00773262">
        <w:trPr>
          <w:trHeight w:val="77"/>
        </w:trPr>
        <w:tc>
          <w:tcPr>
            <w:tcW w:w="9524" w:type="dxa"/>
            <w:tcMar>
              <w:bottom w:w="142" w:type="dxa"/>
            </w:tcMar>
          </w:tcPr>
          <w:p w14:paraId="07DF7C07" w14:textId="1A711073" w:rsidR="00696EBB" w:rsidRPr="00370ACD" w:rsidRDefault="00696EBB" w:rsidP="00647B80">
            <w:pPr>
              <w:pStyle w:val="time"/>
              <w:framePr w:hSpace="0" w:vSpace="0" w:wrap="auto" w:vAnchor="margin" w:hAnchor="text" w:xAlign="left" w:yAlign="inline"/>
              <w:spacing w:before="0" w:beforeAutospacing="0" w:after="120" w:afterAutospacing="0"/>
            </w:pPr>
          </w:p>
        </w:tc>
      </w:tr>
    </w:tbl>
    <w:p w14:paraId="2BD29F01" w14:textId="2ED66755" w:rsidR="00C107CE" w:rsidRPr="00370ACD" w:rsidRDefault="00694ED2" w:rsidP="00647B80">
      <w:pPr>
        <w:spacing w:after="120" w:line="276" w:lineRule="auto"/>
        <w:rPr>
          <w:rFonts w:cstheme="minorHAnsi"/>
          <w:color w:val="000000" w:themeColor="text1"/>
        </w:rPr>
      </w:pPr>
      <w:r>
        <w:rPr>
          <w:noProof/>
          <w:lang w:val="sl-SI" w:eastAsia="sl-SI"/>
        </w:rPr>
        <w:drawing>
          <wp:anchor distT="0" distB="0" distL="114300" distR="114300" simplePos="0" relativeHeight="251659264" behindDoc="0" locked="0" layoutInCell="1" allowOverlap="1" wp14:anchorId="63D99966" wp14:editId="68FC629D">
            <wp:simplePos x="0" y="0"/>
            <wp:positionH relativeFrom="page">
              <wp:posOffset>2646269</wp:posOffset>
            </wp:positionH>
            <wp:positionV relativeFrom="page">
              <wp:posOffset>7501479</wp:posOffset>
            </wp:positionV>
            <wp:extent cx="2172335" cy="2011680"/>
            <wp:effectExtent l="0" t="0" r="0" b="0"/>
            <wp:wrapNone/>
            <wp:docPr id="9"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2335"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2AC18E" w14:textId="45FC334E" w:rsidR="00C17E9C" w:rsidRPr="00370ACD" w:rsidRDefault="00C17E9C" w:rsidP="00647B80">
      <w:pPr>
        <w:spacing w:after="120" w:line="276" w:lineRule="auto"/>
        <w:rPr>
          <w:rFonts w:cstheme="minorHAnsi"/>
          <w:color w:val="000000" w:themeColor="text1"/>
        </w:rPr>
      </w:pPr>
    </w:p>
    <w:p w14:paraId="65503668" w14:textId="47E40A81" w:rsidR="00C17E9C" w:rsidRPr="00370ACD" w:rsidRDefault="00C17E9C" w:rsidP="00647B80">
      <w:pPr>
        <w:spacing w:after="120" w:line="276" w:lineRule="auto"/>
        <w:rPr>
          <w:rFonts w:cstheme="minorHAnsi"/>
          <w:color w:val="000000" w:themeColor="text1"/>
        </w:rPr>
      </w:pPr>
    </w:p>
    <w:p w14:paraId="51441B1B" w14:textId="344A65BF" w:rsidR="00DB6484" w:rsidRPr="00370ACD" w:rsidRDefault="00DB6484" w:rsidP="00647B80">
      <w:pPr>
        <w:spacing w:after="120" w:line="276" w:lineRule="auto"/>
        <w:rPr>
          <w:rFonts w:cstheme="minorHAnsi"/>
          <w:color w:val="000000" w:themeColor="text1"/>
        </w:rPr>
      </w:pPr>
    </w:p>
    <w:p w14:paraId="3CD0C728" w14:textId="2A3BEE01" w:rsidR="00DB6484" w:rsidRPr="00370ACD" w:rsidRDefault="00DB6484" w:rsidP="00647B80">
      <w:pPr>
        <w:spacing w:after="120" w:line="276" w:lineRule="auto"/>
        <w:rPr>
          <w:rFonts w:cstheme="minorHAnsi"/>
          <w:color w:val="000000" w:themeColor="text1"/>
        </w:rPr>
      </w:pPr>
    </w:p>
    <w:p w14:paraId="30751609" w14:textId="77777777" w:rsidR="00C17E9C" w:rsidRPr="00370ACD" w:rsidRDefault="00C17E9C" w:rsidP="00647B80">
      <w:pPr>
        <w:spacing w:after="120" w:line="276" w:lineRule="auto"/>
        <w:rPr>
          <w:rFonts w:cstheme="minorHAnsi"/>
          <w:color w:val="000000" w:themeColor="text1"/>
        </w:rPr>
      </w:pPr>
    </w:p>
    <w:p w14:paraId="16DB1C35" w14:textId="77777777" w:rsidR="002A7EA8" w:rsidRPr="00370ACD" w:rsidRDefault="002A7EA8" w:rsidP="00647B80">
      <w:pPr>
        <w:spacing w:after="120" w:line="276" w:lineRule="auto"/>
        <w:rPr>
          <w:rFonts w:cstheme="minorHAnsi"/>
          <w:color w:val="000000" w:themeColor="text1"/>
        </w:rPr>
      </w:pPr>
    </w:p>
    <w:p w14:paraId="6ED5D4EC" w14:textId="5A0DCE43" w:rsidR="004B6993" w:rsidRPr="00370ACD" w:rsidRDefault="004B6993" w:rsidP="00647B80">
      <w:pPr>
        <w:spacing w:after="120" w:line="276" w:lineRule="auto"/>
        <w:rPr>
          <w:rFonts w:cstheme="minorHAnsi"/>
          <w:color w:val="000000" w:themeColor="text1"/>
        </w:rPr>
      </w:pPr>
    </w:p>
    <w:p w14:paraId="1C56605E" w14:textId="56DDA425" w:rsidR="004B6993" w:rsidRDefault="004B6993" w:rsidP="00647B80">
      <w:pPr>
        <w:pStyle w:val="textregular"/>
        <w:spacing w:line="276" w:lineRule="auto"/>
        <w:rPr>
          <w:rFonts w:cstheme="minorHAnsi"/>
          <w:color w:val="000000" w:themeColor="text1"/>
        </w:rPr>
      </w:pPr>
    </w:p>
    <w:p w14:paraId="5EB174C7" w14:textId="58266DE2" w:rsidR="00621D38" w:rsidRDefault="00694ED2" w:rsidP="00647B80">
      <w:pPr>
        <w:pStyle w:val="textregular"/>
        <w:spacing w:line="276" w:lineRule="auto"/>
        <w:rPr>
          <w:rFonts w:cstheme="minorHAnsi"/>
          <w:color w:val="000000" w:themeColor="text1"/>
        </w:rPr>
      </w:pPr>
      <w:r w:rsidRPr="0080608B">
        <w:rPr>
          <w:rFonts w:ascii="Calibri" w:eastAsia="Calibri" w:hAnsi="Calibri"/>
          <w:noProof/>
          <w:lang w:val="sl-SI" w:eastAsia="sl-SI"/>
        </w:rPr>
        <w:lastRenderedPageBreak/>
        <mc:AlternateContent>
          <mc:Choice Requires="wps">
            <w:drawing>
              <wp:anchor distT="0" distB="0" distL="114300" distR="114300" simplePos="0" relativeHeight="251658240" behindDoc="0" locked="0" layoutInCell="1" allowOverlap="1" wp14:anchorId="12A95E57" wp14:editId="7B32D312">
                <wp:simplePos x="0" y="0"/>
                <wp:positionH relativeFrom="margin">
                  <wp:posOffset>-59690</wp:posOffset>
                </wp:positionH>
                <wp:positionV relativeFrom="paragraph">
                  <wp:posOffset>13036</wp:posOffset>
                </wp:positionV>
                <wp:extent cx="6127750" cy="1354667"/>
                <wp:effectExtent l="0" t="0" r="25400" b="17145"/>
                <wp:wrapNone/>
                <wp:docPr id="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7750" cy="1354667"/>
                        </a:xfrm>
                        <a:prstGeom prst="rect">
                          <a:avLst/>
                        </a:prstGeom>
                        <a:noFill/>
                        <a:ln w="6350">
                          <a:solidFill>
                            <a:prstClr val="black"/>
                          </a:solidFill>
                        </a:ln>
                        <a:effectLst/>
                      </wps:spPr>
                      <wps:txbx>
                        <w:txbxContent>
                          <w:p w14:paraId="4E09C95C" w14:textId="77777777" w:rsidR="004F235A" w:rsidRPr="00F72143" w:rsidRDefault="004F235A" w:rsidP="00BA11D0">
                            <w:pPr>
                              <w:rPr>
                                <w:rFonts w:ascii="Calibri" w:hAnsi="Calibri"/>
                                <w:b/>
                              </w:rPr>
                            </w:pPr>
                            <w:r w:rsidRPr="00F72143">
                              <w:rPr>
                                <w:rFonts w:ascii="Calibri" w:hAnsi="Calibri"/>
                                <w:b/>
                              </w:rPr>
                              <w:t>DISCLAIMER</w:t>
                            </w:r>
                          </w:p>
                          <w:p w14:paraId="687EBBBD" w14:textId="03AEF34F" w:rsidR="004F235A" w:rsidRPr="00F72143" w:rsidRDefault="004F235A" w:rsidP="00BA11D0">
                            <w:pPr>
                              <w:jc w:val="both"/>
                              <w:rPr>
                                <w:rFonts w:ascii="Calibri" w:hAnsi="Calibri"/>
                              </w:rPr>
                            </w:pPr>
                            <w:r w:rsidRPr="00F72143">
                              <w:rPr>
                                <w:rFonts w:ascii="Calibri" w:hAnsi="Calibri"/>
                              </w:rPr>
                              <w:t>This document is released on behalf of the</w:t>
                            </w:r>
                            <w:r>
                              <w:rPr>
                                <w:rFonts w:ascii="Calibri" w:hAnsi="Calibri"/>
                              </w:rPr>
                              <w:t xml:space="preserve"> </w:t>
                            </w:r>
                            <w:r w:rsidRPr="009F1102">
                              <w:rPr>
                                <w:rFonts w:ascii="Calibri" w:hAnsi="Calibri"/>
                                <w:iCs/>
                              </w:rPr>
                              <w:t>Core</w:t>
                            </w:r>
                            <w:r w:rsidRPr="00C53706">
                              <w:rPr>
                                <w:rFonts w:ascii="Calibri" w:hAnsi="Calibri"/>
                              </w:rPr>
                              <w:t xml:space="preserve"> </w:t>
                            </w:r>
                            <w:r w:rsidRPr="00F72143">
                              <w:rPr>
                                <w:rFonts w:ascii="Calibri" w:hAnsi="Calibri"/>
                              </w:rPr>
                              <w:t xml:space="preserve">transmission system operators (“TSOs”) only for the purposes of the public consultation on the </w:t>
                            </w:r>
                            <w:r>
                              <w:rPr>
                                <w:rFonts w:ascii="Calibri" w:hAnsi="Calibri"/>
                              </w:rPr>
                              <w:t>p</w:t>
                            </w:r>
                            <w:r w:rsidRPr="00C53706">
                              <w:rPr>
                                <w:rFonts w:ascii="Calibri" w:hAnsi="Calibri"/>
                              </w:rPr>
                              <w:t xml:space="preserve">roposal for a </w:t>
                            </w:r>
                            <w:r>
                              <w:rPr>
                                <w:rFonts w:ascii="Calibri" w:hAnsi="Calibri"/>
                              </w:rPr>
                              <w:t xml:space="preserve">methodology for an </w:t>
                            </w:r>
                            <w:r w:rsidRPr="00C53706">
                              <w:rPr>
                                <w:rFonts w:ascii="Calibri" w:hAnsi="Calibri"/>
                              </w:rPr>
                              <w:t>allocation process of cross zonal capacity for the exchange of balancing capacity or sharing of reserves</w:t>
                            </w:r>
                            <w:r>
                              <w:rPr>
                                <w:rFonts w:ascii="Calibri" w:hAnsi="Calibri"/>
                              </w:rPr>
                              <w:t xml:space="preserve"> based on economic efficiency analysis </w:t>
                            </w:r>
                            <w:r w:rsidRPr="00F72143">
                              <w:rPr>
                                <w:rFonts w:ascii="Calibri" w:hAnsi="Calibri"/>
                              </w:rPr>
                              <w:t>(“</w:t>
                            </w:r>
                            <w:r>
                              <w:rPr>
                                <w:rFonts w:ascii="Calibri" w:hAnsi="Calibri"/>
                              </w:rPr>
                              <w:t>EE</w:t>
                            </w:r>
                            <w:r w:rsidRPr="00372205">
                              <w:rPr>
                                <w:rFonts w:ascii="Calibri" w:hAnsi="Calibri"/>
                              </w:rPr>
                              <w:t xml:space="preserve"> CZCA</w:t>
                            </w:r>
                            <w:r>
                              <w:rPr>
                                <w:rFonts w:ascii="Calibri" w:hAnsi="Calibri"/>
                              </w:rPr>
                              <w:t xml:space="preserve"> proposal</w:t>
                            </w:r>
                            <w:r w:rsidRPr="00F72143">
                              <w:rPr>
                                <w:rFonts w:ascii="Calibri" w:hAnsi="Calibri"/>
                              </w:rPr>
                              <w:t xml:space="preserve">”) in accordance with Article </w:t>
                            </w:r>
                            <w:r>
                              <w:rPr>
                                <w:rFonts w:ascii="Calibri" w:hAnsi="Calibri"/>
                              </w:rPr>
                              <w:t>42</w:t>
                            </w:r>
                            <w:r w:rsidRPr="00F72143">
                              <w:rPr>
                                <w:rFonts w:ascii="Calibri" w:hAnsi="Calibri"/>
                              </w:rPr>
                              <w:t xml:space="preserve"> of Commission Regulation (EU) 2017/2195 establishing a guideline on electricity balancing. This version of the </w:t>
                            </w:r>
                            <w:r>
                              <w:rPr>
                                <w:rFonts w:ascii="Calibri" w:hAnsi="Calibri"/>
                              </w:rPr>
                              <w:t>EE CZCA proposal</w:t>
                            </w:r>
                            <w:r w:rsidRPr="00372205" w:rsidDel="009C5AC2">
                              <w:rPr>
                                <w:rFonts w:ascii="Calibri" w:hAnsi="Calibri"/>
                              </w:rPr>
                              <w:t xml:space="preserve"> </w:t>
                            </w:r>
                            <w:r w:rsidRPr="00F72143">
                              <w:rPr>
                                <w:rFonts w:ascii="Calibri" w:hAnsi="Calibri"/>
                              </w:rPr>
                              <w:t xml:space="preserve">does not in any case represent a firm, binding or definitive </w:t>
                            </w:r>
                            <w:r w:rsidRPr="009F1102">
                              <w:rPr>
                                <w:rFonts w:ascii="Calibri" w:hAnsi="Calibri"/>
                                <w:iCs/>
                              </w:rPr>
                              <w:t>Core</w:t>
                            </w:r>
                            <w:r w:rsidRPr="00C53706">
                              <w:rPr>
                                <w:rFonts w:ascii="Calibri" w:hAnsi="Calibri"/>
                              </w:rPr>
                              <w:t xml:space="preserve"> </w:t>
                            </w:r>
                            <w:r w:rsidRPr="00F72143">
                              <w:rPr>
                                <w:rFonts w:ascii="Calibri" w:hAnsi="Calibri"/>
                              </w:rPr>
                              <w:t>TS</w:t>
                            </w:r>
                            <w:r>
                              <w:rPr>
                                <w:rFonts w:ascii="Calibri" w:hAnsi="Calibri"/>
                              </w:rPr>
                              <w:t>Os’ position on the content.</w:t>
                            </w:r>
                          </w:p>
                          <w:p w14:paraId="60F54263" w14:textId="77777777" w:rsidR="004F235A" w:rsidRPr="00F72143" w:rsidRDefault="004F235A" w:rsidP="00BA11D0">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2A95E57" id="_x0000_t202" coordsize="21600,21600" o:spt="202" path="m,l,21600r21600,l21600,xe">
                <v:stroke joinstyle="miter"/>
                <v:path gradientshapeok="t" o:connecttype="rect"/>
              </v:shapetype>
              <v:shape id="Tekstiruutu 2" o:spid="_x0000_s1026" type="#_x0000_t202" style="position:absolute;left:0;text-align:left;margin-left:-4.7pt;margin-top:1.05pt;width:482.5pt;height:106.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" filled="f" strokeweight=".5pt">
                <v:path arrowok="t"/>
                <v:textbox>
                  <w:txbxContent>
                    <w:p w14:paraId="4E09C95C" w14:textId="77777777" w:rsidR="004F235A" w:rsidRPr="00F72143" w:rsidRDefault="004F235A" w:rsidP="00BA11D0">
                      <w:pPr>
                        <w:rPr>
                          <w:rFonts w:ascii="Calibri" w:hAnsi="Calibri"/>
                          <w:b/>
                        </w:rPr>
                      </w:pPr>
                      <w:r w:rsidRPr="00F72143">
                        <w:rPr>
                          <w:rFonts w:ascii="Calibri" w:hAnsi="Calibri"/>
                          <w:b/>
                        </w:rPr>
                        <w:t>DISCLAIMER</w:t>
                      </w:r>
                    </w:p>
                    <w:p w14:paraId="687EBBBD" w14:textId="03AEF34F" w:rsidR="004F235A" w:rsidRPr="00F72143" w:rsidRDefault="004F235A" w:rsidP="00BA11D0">
                      <w:pPr>
                        <w:jc w:val="both"/>
                        <w:rPr>
                          <w:rFonts w:ascii="Calibri" w:hAnsi="Calibri"/>
                        </w:rPr>
                      </w:pPr>
                      <w:r w:rsidRPr="00F72143">
                        <w:rPr>
                          <w:rFonts w:ascii="Calibri" w:hAnsi="Calibri"/>
                        </w:rPr>
                        <w:t>This document is released on behalf of the</w:t>
                      </w:r>
                      <w:r>
                        <w:rPr>
                          <w:rFonts w:ascii="Calibri" w:hAnsi="Calibri"/>
                        </w:rPr>
                        <w:t xml:space="preserve"> </w:t>
                      </w:r>
                      <w:r w:rsidRPr="009F1102">
                        <w:rPr>
                          <w:rFonts w:ascii="Calibri" w:hAnsi="Calibri"/>
                          <w:iCs/>
                        </w:rPr>
                        <w:t>Core</w:t>
                      </w:r>
                      <w:r w:rsidRPr="00C53706">
                        <w:rPr>
                          <w:rFonts w:ascii="Calibri" w:hAnsi="Calibri"/>
                        </w:rPr>
                        <w:t xml:space="preserve"> </w:t>
                      </w:r>
                      <w:r w:rsidRPr="00F72143">
                        <w:rPr>
                          <w:rFonts w:ascii="Calibri" w:hAnsi="Calibri"/>
                        </w:rPr>
                        <w:t xml:space="preserve">transmission system operators (“TSOs”) only for the purposes of the public consultation on the </w:t>
                      </w:r>
                      <w:r>
                        <w:rPr>
                          <w:rFonts w:ascii="Calibri" w:hAnsi="Calibri"/>
                        </w:rPr>
                        <w:t>p</w:t>
                      </w:r>
                      <w:r w:rsidRPr="00C53706">
                        <w:rPr>
                          <w:rFonts w:ascii="Calibri" w:hAnsi="Calibri"/>
                        </w:rPr>
                        <w:t xml:space="preserve">roposal for a </w:t>
                      </w:r>
                      <w:r>
                        <w:rPr>
                          <w:rFonts w:ascii="Calibri" w:hAnsi="Calibri"/>
                        </w:rPr>
                        <w:t xml:space="preserve">methodology for an </w:t>
                      </w:r>
                      <w:r w:rsidRPr="00C53706">
                        <w:rPr>
                          <w:rFonts w:ascii="Calibri" w:hAnsi="Calibri"/>
                        </w:rPr>
                        <w:t>allocation process of cross zonal capacity for the exchange of balancing capacity or sharing of reserves</w:t>
                      </w:r>
                      <w:r>
                        <w:rPr>
                          <w:rFonts w:ascii="Calibri" w:hAnsi="Calibri"/>
                        </w:rPr>
                        <w:t xml:space="preserve"> based on economic efficiency analysis </w:t>
                      </w:r>
                      <w:r w:rsidRPr="00F72143">
                        <w:rPr>
                          <w:rFonts w:ascii="Calibri" w:hAnsi="Calibri"/>
                        </w:rPr>
                        <w:t>(“</w:t>
                      </w:r>
                      <w:r>
                        <w:rPr>
                          <w:rFonts w:ascii="Calibri" w:hAnsi="Calibri"/>
                        </w:rPr>
                        <w:t>EE</w:t>
                      </w:r>
                      <w:r w:rsidRPr="00372205">
                        <w:rPr>
                          <w:rFonts w:ascii="Calibri" w:hAnsi="Calibri"/>
                        </w:rPr>
                        <w:t xml:space="preserve"> CZCA</w:t>
                      </w:r>
                      <w:r>
                        <w:rPr>
                          <w:rFonts w:ascii="Calibri" w:hAnsi="Calibri"/>
                        </w:rPr>
                        <w:t xml:space="preserve"> proposal</w:t>
                      </w:r>
                      <w:r w:rsidRPr="00F72143">
                        <w:rPr>
                          <w:rFonts w:ascii="Calibri" w:hAnsi="Calibri"/>
                        </w:rPr>
                        <w:t xml:space="preserve">”) in accordance with Article </w:t>
                      </w:r>
                      <w:r>
                        <w:rPr>
                          <w:rFonts w:ascii="Calibri" w:hAnsi="Calibri"/>
                        </w:rPr>
                        <w:t>42</w:t>
                      </w:r>
                      <w:r w:rsidRPr="00F72143">
                        <w:rPr>
                          <w:rFonts w:ascii="Calibri" w:hAnsi="Calibri"/>
                        </w:rPr>
                        <w:t xml:space="preserve"> of Commission Regulation (EU) 2017/2195 establishing a guideline on electricity balancing. This version of the </w:t>
                      </w:r>
                      <w:r>
                        <w:rPr>
                          <w:rFonts w:ascii="Calibri" w:hAnsi="Calibri"/>
                        </w:rPr>
                        <w:t>EE CZCA proposal</w:t>
                      </w:r>
                      <w:r w:rsidRPr="00372205" w:rsidDel="009C5AC2">
                        <w:rPr>
                          <w:rFonts w:ascii="Calibri" w:hAnsi="Calibri"/>
                        </w:rPr>
                        <w:t xml:space="preserve"> </w:t>
                      </w:r>
                      <w:r w:rsidRPr="00F72143">
                        <w:rPr>
                          <w:rFonts w:ascii="Calibri" w:hAnsi="Calibri"/>
                        </w:rPr>
                        <w:t xml:space="preserve">does not in any case represent a firm, binding or definitive </w:t>
                      </w:r>
                      <w:r w:rsidRPr="009F1102">
                        <w:rPr>
                          <w:rFonts w:ascii="Calibri" w:hAnsi="Calibri"/>
                          <w:iCs/>
                        </w:rPr>
                        <w:t>Core</w:t>
                      </w:r>
                      <w:r w:rsidRPr="00C53706">
                        <w:rPr>
                          <w:rFonts w:ascii="Calibri" w:hAnsi="Calibri"/>
                        </w:rPr>
                        <w:t xml:space="preserve"> </w:t>
                      </w:r>
                      <w:r w:rsidRPr="00F72143">
                        <w:rPr>
                          <w:rFonts w:ascii="Calibri" w:hAnsi="Calibri"/>
                        </w:rPr>
                        <w:t>TS</w:t>
                      </w:r>
                      <w:r>
                        <w:rPr>
                          <w:rFonts w:ascii="Calibri" w:hAnsi="Calibri"/>
                        </w:rPr>
                        <w:t>Os’ position on the content.</w:t>
                      </w:r>
                    </w:p>
                    <w:p w14:paraId="60F54263" w14:textId="77777777" w:rsidR="004F235A" w:rsidRPr="00F72143" w:rsidRDefault="004F235A" w:rsidP="00BA11D0">
                      <w:pPr>
                        <w:jc w:val="both"/>
                      </w:pPr>
                    </w:p>
                  </w:txbxContent>
                </v:textbox>
                <w10:wrap anchorx="margin"/>
              </v:shape>
            </w:pict>
          </mc:Fallback>
        </mc:AlternateContent>
      </w:r>
    </w:p>
    <w:p w14:paraId="4A17C8AB" w14:textId="7EEFF365" w:rsidR="00727E1B" w:rsidRDefault="00727E1B" w:rsidP="00647B80">
      <w:pPr>
        <w:pStyle w:val="textregular"/>
        <w:spacing w:line="276" w:lineRule="auto"/>
        <w:rPr>
          <w:rFonts w:cstheme="minorHAnsi"/>
          <w:color w:val="000000" w:themeColor="text1"/>
        </w:rPr>
      </w:pPr>
    </w:p>
    <w:p w14:paraId="56595B82" w14:textId="3D1860C5" w:rsidR="00694ED2" w:rsidRDefault="00694ED2" w:rsidP="00647B80">
      <w:pPr>
        <w:pStyle w:val="textregular"/>
        <w:spacing w:line="276" w:lineRule="auto"/>
        <w:rPr>
          <w:rFonts w:cstheme="minorHAnsi"/>
          <w:color w:val="000000" w:themeColor="text1"/>
        </w:rPr>
      </w:pPr>
    </w:p>
    <w:p w14:paraId="507EB336" w14:textId="4540C08E" w:rsidR="00694ED2" w:rsidRDefault="00694ED2" w:rsidP="00647B80">
      <w:pPr>
        <w:pStyle w:val="textregular"/>
        <w:spacing w:line="276" w:lineRule="auto"/>
        <w:rPr>
          <w:rFonts w:cstheme="minorHAnsi"/>
          <w:color w:val="000000" w:themeColor="text1"/>
        </w:rPr>
      </w:pPr>
    </w:p>
    <w:p w14:paraId="6027CEEB" w14:textId="7239E436" w:rsidR="00694ED2" w:rsidRDefault="00694ED2" w:rsidP="00647B80">
      <w:pPr>
        <w:pStyle w:val="textregular"/>
        <w:spacing w:line="276" w:lineRule="auto"/>
        <w:rPr>
          <w:rFonts w:cstheme="minorHAnsi"/>
          <w:color w:val="000000" w:themeColor="text1"/>
        </w:rPr>
      </w:pPr>
    </w:p>
    <w:p w14:paraId="3614D625" w14:textId="77777777" w:rsidR="00694ED2" w:rsidRPr="00370ACD" w:rsidRDefault="00694ED2" w:rsidP="00647B80">
      <w:pPr>
        <w:pStyle w:val="textregular"/>
        <w:spacing w:line="276" w:lineRule="auto"/>
        <w:rPr>
          <w:rFonts w:cstheme="minorHAnsi"/>
          <w:color w:val="000000" w:themeColor="text1"/>
        </w:rPr>
      </w:pPr>
    </w:p>
    <w:sdt>
      <w:sdtPr>
        <w:rPr>
          <w:rFonts w:asciiTheme="minorHAnsi" w:eastAsiaTheme="minorHAnsi" w:hAnsiTheme="minorHAnsi" w:cstheme="minorHAnsi"/>
          <w:b w:val="0"/>
          <w:bCs w:val="0"/>
          <w:color w:val="auto"/>
          <w:sz w:val="36"/>
          <w:szCs w:val="22"/>
        </w:rPr>
        <w:id w:val="907816748"/>
        <w:docPartObj>
          <w:docPartGallery w:val="Table of Contents"/>
          <w:docPartUnique/>
        </w:docPartObj>
      </w:sdtPr>
      <w:sdtEndPr>
        <w:rPr>
          <w:sz w:val="22"/>
        </w:rPr>
      </w:sdtEndPr>
      <w:sdtContent>
        <w:p w14:paraId="38BBA8BA" w14:textId="10745321" w:rsidR="00730769" w:rsidRPr="00621D38" w:rsidRDefault="00730769" w:rsidP="00647B80">
          <w:pPr>
            <w:pStyle w:val="TOCHeading"/>
            <w:spacing w:before="0" w:after="120"/>
            <w:rPr>
              <w:rFonts w:asciiTheme="minorHAnsi" w:hAnsiTheme="minorHAnsi" w:cstheme="minorHAnsi"/>
              <w:sz w:val="36"/>
              <w:szCs w:val="22"/>
            </w:rPr>
          </w:pPr>
          <w:r w:rsidRPr="00621D38">
            <w:rPr>
              <w:rFonts w:asciiTheme="minorHAnsi" w:hAnsiTheme="minorHAnsi" w:cstheme="minorHAnsi"/>
              <w:sz w:val="36"/>
              <w:szCs w:val="22"/>
            </w:rPr>
            <w:t>Contents</w:t>
          </w:r>
        </w:p>
        <w:p w14:paraId="67450D77" w14:textId="24230D61" w:rsidR="00727E1B" w:rsidRDefault="00730769">
          <w:pPr>
            <w:pStyle w:val="TOC1"/>
            <w:rPr>
              <w:rFonts w:asciiTheme="minorHAnsi" w:eastAsiaTheme="minorEastAsia" w:hAnsiTheme="minorHAnsi"/>
              <w:noProof/>
              <w:sz w:val="24"/>
              <w:szCs w:val="24"/>
              <w:lang w:val="en-US" w:eastAsia="zh-CN"/>
            </w:rPr>
          </w:pPr>
          <w:r w:rsidRPr="00AE1E68">
            <w:rPr>
              <w:rFonts w:asciiTheme="minorHAnsi" w:hAnsiTheme="minorHAnsi" w:cstheme="minorHAnsi"/>
            </w:rPr>
            <w:fldChar w:fldCharType="begin"/>
          </w:r>
          <w:r w:rsidRPr="00AE1E68">
            <w:rPr>
              <w:rFonts w:asciiTheme="minorHAnsi" w:hAnsiTheme="minorHAnsi" w:cstheme="minorHAnsi"/>
            </w:rPr>
            <w:instrText xml:space="preserve"> TOC \o "1-3" \h \z \u </w:instrText>
          </w:r>
          <w:r w:rsidRPr="00AE1E68">
            <w:rPr>
              <w:rFonts w:asciiTheme="minorHAnsi" w:hAnsiTheme="minorHAnsi" w:cstheme="minorHAnsi"/>
            </w:rPr>
            <w:fldChar w:fldCharType="separate"/>
          </w:r>
          <w:hyperlink w:anchor="_Toc19192523" w:history="1">
            <w:r w:rsidR="00727E1B" w:rsidRPr="00950C71">
              <w:rPr>
                <w:rStyle w:val="Hyperlink"/>
                <w:noProof/>
              </w:rPr>
              <w:t>Whereas</w:t>
            </w:r>
            <w:r w:rsidR="00727E1B">
              <w:rPr>
                <w:noProof/>
                <w:webHidden/>
              </w:rPr>
              <w:tab/>
            </w:r>
            <w:r w:rsidR="00727E1B">
              <w:rPr>
                <w:noProof/>
                <w:webHidden/>
              </w:rPr>
              <w:fldChar w:fldCharType="begin"/>
            </w:r>
            <w:r w:rsidR="00727E1B">
              <w:rPr>
                <w:noProof/>
                <w:webHidden/>
              </w:rPr>
              <w:instrText xml:space="preserve"> PAGEREF _Toc19192523 \h </w:instrText>
            </w:r>
            <w:r w:rsidR="00727E1B">
              <w:rPr>
                <w:noProof/>
                <w:webHidden/>
              </w:rPr>
            </w:r>
            <w:r w:rsidR="00727E1B">
              <w:rPr>
                <w:noProof/>
                <w:webHidden/>
              </w:rPr>
              <w:fldChar w:fldCharType="separate"/>
            </w:r>
            <w:r w:rsidR="00207406">
              <w:rPr>
                <w:noProof/>
                <w:webHidden/>
              </w:rPr>
              <w:t>3</w:t>
            </w:r>
            <w:r w:rsidR="00727E1B">
              <w:rPr>
                <w:noProof/>
                <w:webHidden/>
              </w:rPr>
              <w:fldChar w:fldCharType="end"/>
            </w:r>
          </w:hyperlink>
        </w:p>
        <w:p w14:paraId="5F228AFC" w14:textId="338924E9" w:rsidR="00727E1B" w:rsidRDefault="00C232EF">
          <w:pPr>
            <w:pStyle w:val="TOC1"/>
            <w:rPr>
              <w:rFonts w:asciiTheme="minorHAnsi" w:eastAsiaTheme="minorEastAsia" w:hAnsiTheme="minorHAnsi"/>
              <w:noProof/>
              <w:sz w:val="24"/>
              <w:szCs w:val="24"/>
              <w:lang w:val="en-US" w:eastAsia="zh-CN"/>
            </w:rPr>
          </w:pPr>
          <w:hyperlink w:anchor="_Toc19192524" w:history="1">
            <w:r w:rsidR="00727E1B" w:rsidRPr="00950C71">
              <w:rPr>
                <w:rStyle w:val="Hyperlink"/>
                <w:noProof/>
              </w:rPr>
              <w:t>Abbreviations</w:t>
            </w:r>
            <w:r w:rsidR="00727E1B">
              <w:rPr>
                <w:noProof/>
                <w:webHidden/>
              </w:rPr>
              <w:tab/>
            </w:r>
            <w:r w:rsidR="00727E1B">
              <w:rPr>
                <w:noProof/>
                <w:webHidden/>
              </w:rPr>
              <w:fldChar w:fldCharType="begin"/>
            </w:r>
            <w:r w:rsidR="00727E1B">
              <w:rPr>
                <w:noProof/>
                <w:webHidden/>
              </w:rPr>
              <w:instrText xml:space="preserve"> PAGEREF _Toc19192524 \h </w:instrText>
            </w:r>
            <w:r w:rsidR="00727E1B">
              <w:rPr>
                <w:noProof/>
                <w:webHidden/>
              </w:rPr>
            </w:r>
            <w:r w:rsidR="00727E1B">
              <w:rPr>
                <w:noProof/>
                <w:webHidden/>
              </w:rPr>
              <w:fldChar w:fldCharType="separate"/>
            </w:r>
            <w:r w:rsidR="00207406">
              <w:rPr>
                <w:noProof/>
                <w:webHidden/>
              </w:rPr>
              <w:t>5</w:t>
            </w:r>
            <w:r w:rsidR="00727E1B">
              <w:rPr>
                <w:noProof/>
                <w:webHidden/>
              </w:rPr>
              <w:fldChar w:fldCharType="end"/>
            </w:r>
          </w:hyperlink>
        </w:p>
        <w:p w14:paraId="4B3ACFF2" w14:textId="5ACDFFA9" w:rsidR="00727E1B" w:rsidRDefault="00C232EF">
          <w:pPr>
            <w:pStyle w:val="TOC1"/>
            <w:rPr>
              <w:rFonts w:asciiTheme="minorHAnsi" w:eastAsiaTheme="minorEastAsia" w:hAnsiTheme="minorHAnsi"/>
              <w:noProof/>
              <w:sz w:val="24"/>
              <w:szCs w:val="24"/>
              <w:lang w:val="en-US" w:eastAsia="zh-CN"/>
            </w:rPr>
          </w:pPr>
          <w:hyperlink w:anchor="_Toc19192525" w:history="1">
            <w:r w:rsidR="00727E1B" w:rsidRPr="00950C71">
              <w:rPr>
                <w:rStyle w:val="Hyperlink"/>
                <w:noProof/>
              </w:rPr>
              <w:t>Article 1</w:t>
            </w:r>
            <w:r w:rsidR="00727E1B">
              <w:rPr>
                <w:rFonts w:asciiTheme="minorHAnsi" w:eastAsiaTheme="minorEastAsia" w:hAnsiTheme="minorHAnsi"/>
                <w:noProof/>
                <w:sz w:val="24"/>
                <w:szCs w:val="24"/>
                <w:lang w:val="en-US" w:eastAsia="zh-CN"/>
              </w:rPr>
              <w:tab/>
            </w:r>
            <w:r w:rsidR="00727E1B" w:rsidRPr="00950C71">
              <w:rPr>
                <w:rStyle w:val="Hyperlink"/>
                <w:noProof/>
              </w:rPr>
              <w:t>Subject matter and scope</w:t>
            </w:r>
            <w:r w:rsidR="00727E1B">
              <w:rPr>
                <w:noProof/>
                <w:webHidden/>
              </w:rPr>
              <w:tab/>
            </w:r>
            <w:r w:rsidR="00727E1B">
              <w:rPr>
                <w:noProof/>
                <w:webHidden/>
              </w:rPr>
              <w:fldChar w:fldCharType="begin"/>
            </w:r>
            <w:r w:rsidR="00727E1B">
              <w:rPr>
                <w:noProof/>
                <w:webHidden/>
              </w:rPr>
              <w:instrText xml:space="preserve"> PAGEREF _Toc19192525 \h </w:instrText>
            </w:r>
            <w:r w:rsidR="00727E1B">
              <w:rPr>
                <w:noProof/>
                <w:webHidden/>
              </w:rPr>
            </w:r>
            <w:r w:rsidR="00727E1B">
              <w:rPr>
                <w:noProof/>
                <w:webHidden/>
              </w:rPr>
              <w:fldChar w:fldCharType="separate"/>
            </w:r>
            <w:r w:rsidR="00207406">
              <w:rPr>
                <w:noProof/>
                <w:webHidden/>
              </w:rPr>
              <w:t>6</w:t>
            </w:r>
            <w:r w:rsidR="00727E1B">
              <w:rPr>
                <w:noProof/>
                <w:webHidden/>
              </w:rPr>
              <w:fldChar w:fldCharType="end"/>
            </w:r>
          </w:hyperlink>
        </w:p>
        <w:p w14:paraId="2A484E0F" w14:textId="60813623" w:rsidR="00727E1B" w:rsidRDefault="00C232EF">
          <w:pPr>
            <w:pStyle w:val="TOC1"/>
            <w:rPr>
              <w:rFonts w:asciiTheme="minorHAnsi" w:eastAsiaTheme="minorEastAsia" w:hAnsiTheme="minorHAnsi"/>
              <w:noProof/>
              <w:sz w:val="24"/>
              <w:szCs w:val="24"/>
              <w:lang w:val="en-US" w:eastAsia="zh-CN"/>
            </w:rPr>
          </w:pPr>
          <w:hyperlink w:anchor="_Toc19192526" w:history="1">
            <w:r w:rsidR="00727E1B" w:rsidRPr="00950C71">
              <w:rPr>
                <w:rStyle w:val="Hyperlink"/>
                <w:noProof/>
              </w:rPr>
              <w:t>Article 2</w:t>
            </w:r>
            <w:r w:rsidR="00727E1B">
              <w:rPr>
                <w:rFonts w:asciiTheme="minorHAnsi" w:eastAsiaTheme="minorEastAsia" w:hAnsiTheme="minorHAnsi"/>
                <w:noProof/>
                <w:sz w:val="24"/>
                <w:szCs w:val="24"/>
                <w:lang w:val="en-US" w:eastAsia="zh-CN"/>
              </w:rPr>
              <w:tab/>
            </w:r>
            <w:r w:rsidR="00727E1B" w:rsidRPr="00950C71">
              <w:rPr>
                <w:rStyle w:val="Hyperlink"/>
                <w:noProof/>
              </w:rPr>
              <w:t>Definitions</w:t>
            </w:r>
            <w:r w:rsidR="00727E1B">
              <w:rPr>
                <w:noProof/>
                <w:webHidden/>
              </w:rPr>
              <w:tab/>
            </w:r>
            <w:r w:rsidR="00727E1B">
              <w:rPr>
                <w:noProof/>
                <w:webHidden/>
              </w:rPr>
              <w:fldChar w:fldCharType="begin"/>
            </w:r>
            <w:r w:rsidR="00727E1B">
              <w:rPr>
                <w:noProof/>
                <w:webHidden/>
              </w:rPr>
              <w:instrText xml:space="preserve"> PAGEREF _Toc19192526 \h </w:instrText>
            </w:r>
            <w:r w:rsidR="00727E1B">
              <w:rPr>
                <w:noProof/>
                <w:webHidden/>
              </w:rPr>
            </w:r>
            <w:r w:rsidR="00727E1B">
              <w:rPr>
                <w:noProof/>
                <w:webHidden/>
              </w:rPr>
              <w:fldChar w:fldCharType="separate"/>
            </w:r>
            <w:r w:rsidR="00207406">
              <w:rPr>
                <w:noProof/>
                <w:webHidden/>
              </w:rPr>
              <w:t>6</w:t>
            </w:r>
            <w:r w:rsidR="00727E1B">
              <w:rPr>
                <w:noProof/>
                <w:webHidden/>
              </w:rPr>
              <w:fldChar w:fldCharType="end"/>
            </w:r>
          </w:hyperlink>
        </w:p>
        <w:p w14:paraId="32E75271" w14:textId="24309A09" w:rsidR="00727E1B" w:rsidRDefault="00C232EF">
          <w:pPr>
            <w:pStyle w:val="TOC1"/>
            <w:rPr>
              <w:rFonts w:asciiTheme="minorHAnsi" w:eastAsiaTheme="minorEastAsia" w:hAnsiTheme="minorHAnsi"/>
              <w:noProof/>
              <w:sz w:val="24"/>
              <w:szCs w:val="24"/>
              <w:lang w:val="en-US" w:eastAsia="zh-CN"/>
            </w:rPr>
          </w:pPr>
          <w:hyperlink w:anchor="_Toc19192527" w:history="1">
            <w:r w:rsidR="00727E1B" w:rsidRPr="00950C71">
              <w:rPr>
                <w:rStyle w:val="Hyperlink"/>
                <w:noProof/>
              </w:rPr>
              <w:t>Article 3</w:t>
            </w:r>
            <w:r w:rsidR="00727E1B">
              <w:rPr>
                <w:rFonts w:asciiTheme="minorHAnsi" w:eastAsiaTheme="minorEastAsia" w:hAnsiTheme="minorHAnsi"/>
                <w:noProof/>
                <w:sz w:val="24"/>
                <w:szCs w:val="24"/>
                <w:lang w:val="en-US" w:eastAsia="zh-CN"/>
              </w:rPr>
              <w:tab/>
            </w:r>
            <w:r w:rsidR="00727E1B" w:rsidRPr="00950C71">
              <w:rPr>
                <w:rStyle w:val="Hyperlink"/>
                <w:noProof/>
              </w:rPr>
              <w:t>Principles for each balancing capacity cooperation within the CCR Core</w:t>
            </w:r>
            <w:r w:rsidR="00727E1B">
              <w:rPr>
                <w:noProof/>
                <w:webHidden/>
              </w:rPr>
              <w:tab/>
            </w:r>
            <w:r w:rsidR="00727E1B">
              <w:rPr>
                <w:noProof/>
                <w:webHidden/>
              </w:rPr>
              <w:fldChar w:fldCharType="begin"/>
            </w:r>
            <w:r w:rsidR="00727E1B">
              <w:rPr>
                <w:noProof/>
                <w:webHidden/>
              </w:rPr>
              <w:instrText xml:space="preserve"> PAGEREF _Toc19192527 \h </w:instrText>
            </w:r>
            <w:r w:rsidR="00727E1B">
              <w:rPr>
                <w:noProof/>
                <w:webHidden/>
              </w:rPr>
            </w:r>
            <w:r w:rsidR="00727E1B">
              <w:rPr>
                <w:noProof/>
                <w:webHidden/>
              </w:rPr>
              <w:fldChar w:fldCharType="separate"/>
            </w:r>
            <w:r w:rsidR="00207406">
              <w:rPr>
                <w:noProof/>
                <w:webHidden/>
              </w:rPr>
              <w:t>7</w:t>
            </w:r>
            <w:r w:rsidR="00727E1B">
              <w:rPr>
                <w:noProof/>
                <w:webHidden/>
              </w:rPr>
              <w:fldChar w:fldCharType="end"/>
            </w:r>
          </w:hyperlink>
        </w:p>
        <w:p w14:paraId="6F528D58" w14:textId="39954F2A" w:rsidR="00727E1B" w:rsidRDefault="00C232EF">
          <w:pPr>
            <w:pStyle w:val="TOC1"/>
            <w:rPr>
              <w:rFonts w:asciiTheme="minorHAnsi" w:eastAsiaTheme="minorEastAsia" w:hAnsiTheme="minorHAnsi"/>
              <w:noProof/>
              <w:sz w:val="24"/>
              <w:szCs w:val="24"/>
              <w:lang w:val="en-US" w:eastAsia="zh-CN"/>
            </w:rPr>
          </w:pPr>
          <w:hyperlink w:anchor="_Toc19192528" w:history="1">
            <w:r w:rsidR="00727E1B" w:rsidRPr="00950C71">
              <w:rPr>
                <w:rStyle w:val="Hyperlink"/>
                <w:noProof/>
              </w:rPr>
              <w:t>Article 4</w:t>
            </w:r>
            <w:r w:rsidR="00727E1B">
              <w:rPr>
                <w:rFonts w:asciiTheme="minorHAnsi" w:eastAsiaTheme="minorEastAsia" w:hAnsiTheme="minorHAnsi"/>
                <w:noProof/>
                <w:sz w:val="24"/>
                <w:szCs w:val="24"/>
                <w:lang w:val="en-US" w:eastAsia="zh-CN"/>
              </w:rPr>
              <w:tab/>
            </w:r>
            <w:r w:rsidR="00727E1B" w:rsidRPr="00950C71">
              <w:rPr>
                <w:rStyle w:val="Hyperlink"/>
                <w:noProof/>
              </w:rPr>
              <w:t>Notification process for the use of the allocation process based on economic efficiency analysis</w:t>
            </w:r>
            <w:r w:rsidR="00727E1B">
              <w:rPr>
                <w:noProof/>
                <w:webHidden/>
              </w:rPr>
              <w:tab/>
            </w:r>
            <w:r w:rsidR="00727E1B">
              <w:rPr>
                <w:noProof/>
                <w:webHidden/>
              </w:rPr>
              <w:fldChar w:fldCharType="begin"/>
            </w:r>
            <w:r w:rsidR="00727E1B">
              <w:rPr>
                <w:noProof/>
                <w:webHidden/>
              </w:rPr>
              <w:instrText xml:space="preserve"> PAGEREF _Toc19192528 \h </w:instrText>
            </w:r>
            <w:r w:rsidR="00727E1B">
              <w:rPr>
                <w:noProof/>
                <w:webHidden/>
              </w:rPr>
            </w:r>
            <w:r w:rsidR="00727E1B">
              <w:rPr>
                <w:noProof/>
                <w:webHidden/>
              </w:rPr>
              <w:fldChar w:fldCharType="separate"/>
            </w:r>
            <w:r w:rsidR="00207406">
              <w:rPr>
                <w:noProof/>
                <w:webHidden/>
              </w:rPr>
              <w:t>8</w:t>
            </w:r>
            <w:r w:rsidR="00727E1B">
              <w:rPr>
                <w:noProof/>
                <w:webHidden/>
              </w:rPr>
              <w:fldChar w:fldCharType="end"/>
            </w:r>
          </w:hyperlink>
        </w:p>
        <w:p w14:paraId="4D055012" w14:textId="02E79074" w:rsidR="00727E1B" w:rsidRDefault="00C232EF">
          <w:pPr>
            <w:pStyle w:val="TOC1"/>
            <w:rPr>
              <w:rFonts w:asciiTheme="minorHAnsi" w:eastAsiaTheme="minorEastAsia" w:hAnsiTheme="minorHAnsi"/>
              <w:noProof/>
              <w:sz w:val="24"/>
              <w:szCs w:val="24"/>
              <w:lang w:val="en-US" w:eastAsia="zh-CN"/>
            </w:rPr>
          </w:pPr>
          <w:hyperlink w:anchor="_Toc19192529" w:history="1">
            <w:r w:rsidR="00727E1B" w:rsidRPr="00950C71">
              <w:rPr>
                <w:rStyle w:val="Hyperlink"/>
                <w:noProof/>
              </w:rPr>
              <w:t>Article 5</w:t>
            </w:r>
            <w:r w:rsidR="00727E1B">
              <w:rPr>
                <w:rFonts w:asciiTheme="minorHAnsi" w:eastAsiaTheme="minorEastAsia" w:hAnsiTheme="minorHAnsi"/>
                <w:noProof/>
                <w:sz w:val="24"/>
                <w:szCs w:val="24"/>
                <w:lang w:val="en-US" w:eastAsia="zh-CN"/>
              </w:rPr>
              <w:tab/>
            </w:r>
            <w:r w:rsidR="00727E1B" w:rsidRPr="00950C71">
              <w:rPr>
                <w:rStyle w:val="Hyperlink"/>
                <w:noProof/>
              </w:rPr>
              <w:t>Timeframe of the allocation process based on economic efficiency analysis</w:t>
            </w:r>
            <w:r w:rsidR="00727E1B">
              <w:rPr>
                <w:noProof/>
                <w:webHidden/>
              </w:rPr>
              <w:tab/>
            </w:r>
            <w:r w:rsidR="00727E1B">
              <w:rPr>
                <w:noProof/>
                <w:webHidden/>
              </w:rPr>
              <w:fldChar w:fldCharType="begin"/>
            </w:r>
            <w:r w:rsidR="00727E1B">
              <w:rPr>
                <w:noProof/>
                <w:webHidden/>
              </w:rPr>
              <w:instrText xml:space="preserve"> PAGEREF _Toc19192529 \h </w:instrText>
            </w:r>
            <w:r w:rsidR="00727E1B">
              <w:rPr>
                <w:noProof/>
                <w:webHidden/>
              </w:rPr>
            </w:r>
            <w:r w:rsidR="00727E1B">
              <w:rPr>
                <w:noProof/>
                <w:webHidden/>
              </w:rPr>
              <w:fldChar w:fldCharType="separate"/>
            </w:r>
            <w:r w:rsidR="00207406">
              <w:rPr>
                <w:noProof/>
                <w:webHidden/>
              </w:rPr>
              <w:t>9</w:t>
            </w:r>
            <w:r w:rsidR="00727E1B">
              <w:rPr>
                <w:noProof/>
                <w:webHidden/>
              </w:rPr>
              <w:fldChar w:fldCharType="end"/>
            </w:r>
          </w:hyperlink>
        </w:p>
        <w:p w14:paraId="5FDD99FB" w14:textId="57D1722A" w:rsidR="00727E1B" w:rsidRDefault="00C232EF">
          <w:pPr>
            <w:pStyle w:val="TOC1"/>
            <w:rPr>
              <w:rFonts w:asciiTheme="minorHAnsi" w:eastAsiaTheme="minorEastAsia" w:hAnsiTheme="minorHAnsi"/>
              <w:noProof/>
              <w:sz w:val="24"/>
              <w:szCs w:val="24"/>
              <w:lang w:val="en-US" w:eastAsia="zh-CN"/>
            </w:rPr>
          </w:pPr>
          <w:hyperlink w:anchor="_Toc19192530" w:history="1">
            <w:r w:rsidR="00727E1B" w:rsidRPr="00950C71">
              <w:rPr>
                <w:rStyle w:val="Hyperlink"/>
                <w:noProof/>
              </w:rPr>
              <w:t>Article 6</w:t>
            </w:r>
            <w:r w:rsidR="00727E1B">
              <w:rPr>
                <w:rFonts w:asciiTheme="minorHAnsi" w:eastAsiaTheme="minorEastAsia" w:hAnsiTheme="minorHAnsi"/>
                <w:noProof/>
                <w:sz w:val="24"/>
                <w:szCs w:val="24"/>
                <w:lang w:val="en-US" w:eastAsia="zh-CN"/>
              </w:rPr>
              <w:tab/>
            </w:r>
            <w:r w:rsidR="00727E1B" w:rsidRPr="00950C71">
              <w:rPr>
                <w:rStyle w:val="Hyperlink"/>
                <w:noProof/>
              </w:rPr>
              <w:t>Process to define the maximum volume of allocated cross zonal capacity for the exchange of balancing capacity or sharing of reserves</w:t>
            </w:r>
            <w:r w:rsidR="00727E1B">
              <w:rPr>
                <w:noProof/>
                <w:webHidden/>
              </w:rPr>
              <w:tab/>
            </w:r>
            <w:r w:rsidR="00727E1B">
              <w:rPr>
                <w:noProof/>
                <w:webHidden/>
              </w:rPr>
              <w:fldChar w:fldCharType="begin"/>
            </w:r>
            <w:r w:rsidR="00727E1B">
              <w:rPr>
                <w:noProof/>
                <w:webHidden/>
              </w:rPr>
              <w:instrText xml:space="preserve"> PAGEREF _Toc19192530 \h </w:instrText>
            </w:r>
            <w:r w:rsidR="00727E1B">
              <w:rPr>
                <w:noProof/>
                <w:webHidden/>
              </w:rPr>
            </w:r>
            <w:r w:rsidR="00727E1B">
              <w:rPr>
                <w:noProof/>
                <w:webHidden/>
              </w:rPr>
              <w:fldChar w:fldCharType="separate"/>
            </w:r>
            <w:r w:rsidR="00207406">
              <w:rPr>
                <w:noProof/>
                <w:webHidden/>
              </w:rPr>
              <w:t>10</w:t>
            </w:r>
            <w:r w:rsidR="00727E1B">
              <w:rPr>
                <w:noProof/>
                <w:webHidden/>
              </w:rPr>
              <w:fldChar w:fldCharType="end"/>
            </w:r>
          </w:hyperlink>
        </w:p>
        <w:p w14:paraId="53690B0C" w14:textId="6F2E768E" w:rsidR="00727E1B" w:rsidRDefault="00C232EF">
          <w:pPr>
            <w:pStyle w:val="TOC1"/>
            <w:rPr>
              <w:rFonts w:asciiTheme="minorHAnsi" w:eastAsiaTheme="minorEastAsia" w:hAnsiTheme="minorHAnsi"/>
              <w:noProof/>
              <w:sz w:val="24"/>
              <w:szCs w:val="24"/>
              <w:lang w:val="en-US" w:eastAsia="zh-CN"/>
            </w:rPr>
          </w:pPr>
          <w:hyperlink w:anchor="_Toc19192531" w:history="1">
            <w:r w:rsidR="00727E1B" w:rsidRPr="00950C71">
              <w:rPr>
                <w:rStyle w:val="Hyperlink"/>
                <w:noProof/>
              </w:rPr>
              <w:t>Article 7</w:t>
            </w:r>
            <w:r w:rsidR="00727E1B">
              <w:rPr>
                <w:rFonts w:asciiTheme="minorHAnsi" w:eastAsiaTheme="minorEastAsia" w:hAnsiTheme="minorHAnsi"/>
                <w:noProof/>
                <w:sz w:val="24"/>
                <w:szCs w:val="24"/>
                <w:lang w:val="en-US" w:eastAsia="zh-CN"/>
              </w:rPr>
              <w:tab/>
            </w:r>
            <w:r w:rsidR="00727E1B" w:rsidRPr="00950C71">
              <w:rPr>
                <w:rStyle w:val="Hyperlink"/>
                <w:noProof/>
              </w:rPr>
              <w:t>Determination of the forecasted market value of cross zonal capacity for the exchange of energy</w:t>
            </w:r>
            <w:r w:rsidR="00727E1B">
              <w:rPr>
                <w:noProof/>
                <w:webHidden/>
              </w:rPr>
              <w:tab/>
            </w:r>
            <w:r w:rsidR="00727E1B">
              <w:rPr>
                <w:noProof/>
                <w:webHidden/>
              </w:rPr>
              <w:fldChar w:fldCharType="begin"/>
            </w:r>
            <w:r w:rsidR="00727E1B">
              <w:rPr>
                <w:noProof/>
                <w:webHidden/>
              </w:rPr>
              <w:instrText xml:space="preserve"> PAGEREF _Toc19192531 \h </w:instrText>
            </w:r>
            <w:r w:rsidR="00727E1B">
              <w:rPr>
                <w:noProof/>
                <w:webHidden/>
              </w:rPr>
            </w:r>
            <w:r w:rsidR="00727E1B">
              <w:rPr>
                <w:noProof/>
                <w:webHidden/>
              </w:rPr>
              <w:fldChar w:fldCharType="separate"/>
            </w:r>
            <w:r w:rsidR="00207406">
              <w:rPr>
                <w:noProof/>
                <w:webHidden/>
              </w:rPr>
              <w:t>10</w:t>
            </w:r>
            <w:r w:rsidR="00727E1B">
              <w:rPr>
                <w:noProof/>
                <w:webHidden/>
              </w:rPr>
              <w:fldChar w:fldCharType="end"/>
            </w:r>
          </w:hyperlink>
        </w:p>
        <w:p w14:paraId="7FD9B587" w14:textId="0F8387EC" w:rsidR="00727E1B" w:rsidRDefault="00C232EF">
          <w:pPr>
            <w:pStyle w:val="TOC1"/>
            <w:rPr>
              <w:rFonts w:asciiTheme="minorHAnsi" w:eastAsiaTheme="minorEastAsia" w:hAnsiTheme="minorHAnsi"/>
              <w:noProof/>
              <w:sz w:val="24"/>
              <w:szCs w:val="24"/>
              <w:lang w:val="en-US" w:eastAsia="zh-CN"/>
            </w:rPr>
          </w:pPr>
          <w:hyperlink w:anchor="_Toc19192532" w:history="1">
            <w:r w:rsidR="00727E1B" w:rsidRPr="00950C71">
              <w:rPr>
                <w:rStyle w:val="Hyperlink"/>
                <w:noProof/>
              </w:rPr>
              <w:t>Article 8</w:t>
            </w:r>
            <w:r w:rsidR="00727E1B">
              <w:rPr>
                <w:rFonts w:asciiTheme="minorHAnsi" w:eastAsiaTheme="minorEastAsia" w:hAnsiTheme="minorHAnsi"/>
                <w:noProof/>
                <w:sz w:val="24"/>
                <w:szCs w:val="24"/>
                <w:lang w:val="en-US" w:eastAsia="zh-CN"/>
              </w:rPr>
              <w:tab/>
            </w:r>
            <w:r w:rsidR="00727E1B" w:rsidRPr="00950C71">
              <w:rPr>
                <w:rStyle w:val="Hyperlink"/>
                <w:noProof/>
              </w:rPr>
              <w:t>Determination of the forecasted market value of cross zonal capacity for the exchange of balancing capacity or sharing of reserves</w:t>
            </w:r>
            <w:r w:rsidR="00727E1B">
              <w:rPr>
                <w:noProof/>
                <w:webHidden/>
              </w:rPr>
              <w:tab/>
            </w:r>
            <w:r w:rsidR="00727E1B">
              <w:rPr>
                <w:noProof/>
                <w:webHidden/>
              </w:rPr>
              <w:fldChar w:fldCharType="begin"/>
            </w:r>
            <w:r w:rsidR="00727E1B">
              <w:rPr>
                <w:noProof/>
                <w:webHidden/>
              </w:rPr>
              <w:instrText xml:space="preserve"> PAGEREF _Toc19192532 \h </w:instrText>
            </w:r>
            <w:r w:rsidR="00727E1B">
              <w:rPr>
                <w:noProof/>
                <w:webHidden/>
              </w:rPr>
            </w:r>
            <w:r w:rsidR="00727E1B">
              <w:rPr>
                <w:noProof/>
                <w:webHidden/>
              </w:rPr>
              <w:fldChar w:fldCharType="separate"/>
            </w:r>
            <w:r w:rsidR="00207406">
              <w:rPr>
                <w:noProof/>
                <w:webHidden/>
              </w:rPr>
              <w:t>11</w:t>
            </w:r>
            <w:r w:rsidR="00727E1B">
              <w:rPr>
                <w:noProof/>
                <w:webHidden/>
              </w:rPr>
              <w:fldChar w:fldCharType="end"/>
            </w:r>
          </w:hyperlink>
        </w:p>
        <w:p w14:paraId="5E160B01" w14:textId="191599BD" w:rsidR="00727E1B" w:rsidRDefault="00C232EF">
          <w:pPr>
            <w:pStyle w:val="TOC1"/>
            <w:rPr>
              <w:rFonts w:asciiTheme="minorHAnsi" w:eastAsiaTheme="minorEastAsia" w:hAnsiTheme="minorHAnsi"/>
              <w:noProof/>
              <w:sz w:val="24"/>
              <w:szCs w:val="24"/>
              <w:lang w:val="en-US" w:eastAsia="zh-CN"/>
            </w:rPr>
          </w:pPr>
          <w:hyperlink w:anchor="_Toc19192533" w:history="1">
            <w:r w:rsidR="00727E1B" w:rsidRPr="00950C71">
              <w:rPr>
                <w:rStyle w:val="Hyperlink"/>
                <w:noProof/>
              </w:rPr>
              <w:t>Article 9</w:t>
            </w:r>
            <w:r w:rsidR="00727E1B">
              <w:rPr>
                <w:rFonts w:asciiTheme="minorHAnsi" w:eastAsiaTheme="minorEastAsia" w:hAnsiTheme="minorHAnsi"/>
                <w:noProof/>
                <w:sz w:val="24"/>
                <w:szCs w:val="24"/>
                <w:lang w:val="en-US" w:eastAsia="zh-CN"/>
              </w:rPr>
              <w:tab/>
            </w:r>
            <w:r w:rsidR="00727E1B" w:rsidRPr="00950C71">
              <w:rPr>
                <w:rStyle w:val="Hyperlink"/>
                <w:noProof/>
              </w:rPr>
              <w:t>Determination of the allocated volume of cross zonal capacity for the exchange of balancing capacity or sharing of reserves</w:t>
            </w:r>
            <w:r w:rsidR="00727E1B">
              <w:rPr>
                <w:noProof/>
                <w:webHidden/>
              </w:rPr>
              <w:tab/>
            </w:r>
            <w:r w:rsidR="00727E1B">
              <w:rPr>
                <w:noProof/>
                <w:webHidden/>
              </w:rPr>
              <w:fldChar w:fldCharType="begin"/>
            </w:r>
            <w:r w:rsidR="00727E1B">
              <w:rPr>
                <w:noProof/>
                <w:webHidden/>
              </w:rPr>
              <w:instrText xml:space="preserve"> PAGEREF _Toc19192533 \h </w:instrText>
            </w:r>
            <w:r w:rsidR="00727E1B">
              <w:rPr>
                <w:noProof/>
                <w:webHidden/>
              </w:rPr>
            </w:r>
            <w:r w:rsidR="00727E1B">
              <w:rPr>
                <w:noProof/>
                <w:webHidden/>
              </w:rPr>
              <w:fldChar w:fldCharType="separate"/>
            </w:r>
            <w:r w:rsidR="00207406">
              <w:rPr>
                <w:noProof/>
                <w:webHidden/>
              </w:rPr>
              <w:t>12</w:t>
            </w:r>
            <w:r w:rsidR="00727E1B">
              <w:rPr>
                <w:noProof/>
                <w:webHidden/>
              </w:rPr>
              <w:fldChar w:fldCharType="end"/>
            </w:r>
          </w:hyperlink>
        </w:p>
        <w:p w14:paraId="0EB11516" w14:textId="74511146" w:rsidR="00727E1B" w:rsidRDefault="00C232EF">
          <w:pPr>
            <w:pStyle w:val="TOC1"/>
            <w:rPr>
              <w:rFonts w:asciiTheme="minorHAnsi" w:eastAsiaTheme="minorEastAsia" w:hAnsiTheme="minorHAnsi"/>
              <w:noProof/>
              <w:sz w:val="24"/>
              <w:szCs w:val="24"/>
              <w:lang w:val="en-US" w:eastAsia="zh-CN"/>
            </w:rPr>
          </w:pPr>
          <w:hyperlink w:anchor="_Toc19192534" w:history="1">
            <w:r w:rsidR="00727E1B" w:rsidRPr="00950C71">
              <w:rPr>
                <w:rStyle w:val="Hyperlink"/>
                <w:noProof/>
              </w:rPr>
              <w:t>Article 10</w:t>
            </w:r>
            <w:r w:rsidR="00727E1B">
              <w:rPr>
                <w:rFonts w:asciiTheme="minorHAnsi" w:eastAsiaTheme="minorEastAsia" w:hAnsiTheme="minorHAnsi"/>
                <w:noProof/>
                <w:sz w:val="24"/>
                <w:szCs w:val="24"/>
                <w:lang w:val="en-US" w:eastAsia="zh-CN"/>
              </w:rPr>
              <w:tab/>
            </w:r>
            <w:r w:rsidR="00727E1B" w:rsidRPr="00950C71">
              <w:rPr>
                <w:rStyle w:val="Hyperlink"/>
                <w:noProof/>
              </w:rPr>
              <w:t>Pricing of cross zonal capacity</w:t>
            </w:r>
            <w:r w:rsidR="00727E1B">
              <w:rPr>
                <w:noProof/>
                <w:webHidden/>
              </w:rPr>
              <w:tab/>
            </w:r>
            <w:r w:rsidR="00727E1B">
              <w:rPr>
                <w:noProof/>
                <w:webHidden/>
              </w:rPr>
              <w:fldChar w:fldCharType="begin"/>
            </w:r>
            <w:r w:rsidR="00727E1B">
              <w:rPr>
                <w:noProof/>
                <w:webHidden/>
              </w:rPr>
              <w:instrText xml:space="preserve"> PAGEREF _Toc19192534 \h </w:instrText>
            </w:r>
            <w:r w:rsidR="00727E1B">
              <w:rPr>
                <w:noProof/>
                <w:webHidden/>
              </w:rPr>
            </w:r>
            <w:r w:rsidR="00727E1B">
              <w:rPr>
                <w:noProof/>
                <w:webHidden/>
              </w:rPr>
              <w:fldChar w:fldCharType="separate"/>
            </w:r>
            <w:r w:rsidR="00207406">
              <w:rPr>
                <w:noProof/>
                <w:webHidden/>
              </w:rPr>
              <w:t>12</w:t>
            </w:r>
            <w:r w:rsidR="00727E1B">
              <w:rPr>
                <w:noProof/>
                <w:webHidden/>
              </w:rPr>
              <w:fldChar w:fldCharType="end"/>
            </w:r>
          </w:hyperlink>
        </w:p>
        <w:p w14:paraId="3A8299CD" w14:textId="6CB7B163" w:rsidR="00727E1B" w:rsidRDefault="00C232EF">
          <w:pPr>
            <w:pStyle w:val="TOC1"/>
            <w:rPr>
              <w:rFonts w:asciiTheme="minorHAnsi" w:eastAsiaTheme="minorEastAsia" w:hAnsiTheme="minorHAnsi"/>
              <w:noProof/>
              <w:sz w:val="24"/>
              <w:szCs w:val="24"/>
              <w:lang w:val="en-US" w:eastAsia="zh-CN"/>
            </w:rPr>
          </w:pPr>
          <w:hyperlink w:anchor="_Toc19192535" w:history="1">
            <w:r w:rsidR="00727E1B" w:rsidRPr="00950C71">
              <w:rPr>
                <w:rStyle w:val="Hyperlink"/>
                <w:noProof/>
              </w:rPr>
              <w:t>Article 11</w:t>
            </w:r>
            <w:r w:rsidR="00727E1B">
              <w:rPr>
                <w:rFonts w:asciiTheme="minorHAnsi" w:eastAsiaTheme="minorEastAsia" w:hAnsiTheme="minorHAnsi"/>
                <w:noProof/>
                <w:sz w:val="24"/>
                <w:szCs w:val="24"/>
                <w:lang w:val="en-US" w:eastAsia="zh-CN"/>
              </w:rPr>
              <w:tab/>
            </w:r>
            <w:r w:rsidR="00727E1B" w:rsidRPr="00950C71">
              <w:rPr>
                <w:rStyle w:val="Hyperlink"/>
                <w:noProof/>
              </w:rPr>
              <w:t>Firmness regime of cross zonal capacity</w:t>
            </w:r>
            <w:r w:rsidR="00727E1B">
              <w:rPr>
                <w:noProof/>
                <w:webHidden/>
              </w:rPr>
              <w:tab/>
            </w:r>
            <w:r w:rsidR="00727E1B">
              <w:rPr>
                <w:noProof/>
                <w:webHidden/>
              </w:rPr>
              <w:fldChar w:fldCharType="begin"/>
            </w:r>
            <w:r w:rsidR="00727E1B">
              <w:rPr>
                <w:noProof/>
                <w:webHidden/>
              </w:rPr>
              <w:instrText xml:space="preserve"> PAGEREF _Toc19192535 \h </w:instrText>
            </w:r>
            <w:r w:rsidR="00727E1B">
              <w:rPr>
                <w:noProof/>
                <w:webHidden/>
              </w:rPr>
            </w:r>
            <w:r w:rsidR="00727E1B">
              <w:rPr>
                <w:noProof/>
                <w:webHidden/>
              </w:rPr>
              <w:fldChar w:fldCharType="separate"/>
            </w:r>
            <w:r w:rsidR="00207406">
              <w:rPr>
                <w:noProof/>
                <w:webHidden/>
              </w:rPr>
              <w:t>13</w:t>
            </w:r>
            <w:r w:rsidR="00727E1B">
              <w:rPr>
                <w:noProof/>
                <w:webHidden/>
              </w:rPr>
              <w:fldChar w:fldCharType="end"/>
            </w:r>
          </w:hyperlink>
        </w:p>
        <w:p w14:paraId="3F5318C7" w14:textId="2EE6CEF2" w:rsidR="00727E1B" w:rsidRDefault="00C232EF">
          <w:pPr>
            <w:pStyle w:val="TOC1"/>
            <w:rPr>
              <w:rFonts w:asciiTheme="minorHAnsi" w:eastAsiaTheme="minorEastAsia" w:hAnsiTheme="minorHAnsi"/>
              <w:noProof/>
              <w:sz w:val="24"/>
              <w:szCs w:val="24"/>
              <w:lang w:val="en-US" w:eastAsia="zh-CN"/>
            </w:rPr>
          </w:pPr>
          <w:hyperlink w:anchor="_Toc19192536" w:history="1">
            <w:r w:rsidR="00727E1B" w:rsidRPr="00950C71">
              <w:rPr>
                <w:rStyle w:val="Hyperlink"/>
                <w:noProof/>
              </w:rPr>
              <w:t>Article 12</w:t>
            </w:r>
            <w:r w:rsidR="00727E1B">
              <w:rPr>
                <w:rFonts w:asciiTheme="minorHAnsi" w:eastAsiaTheme="minorEastAsia" w:hAnsiTheme="minorHAnsi"/>
                <w:noProof/>
                <w:sz w:val="24"/>
                <w:szCs w:val="24"/>
                <w:lang w:val="en-US" w:eastAsia="zh-CN"/>
              </w:rPr>
              <w:tab/>
            </w:r>
            <w:r w:rsidR="00727E1B" w:rsidRPr="00950C71">
              <w:rPr>
                <w:rStyle w:val="Hyperlink"/>
                <w:noProof/>
              </w:rPr>
              <w:t>Sharing of congestion income from cross-zonal capacity</w:t>
            </w:r>
            <w:r w:rsidR="00727E1B">
              <w:rPr>
                <w:noProof/>
                <w:webHidden/>
              </w:rPr>
              <w:tab/>
            </w:r>
            <w:r w:rsidR="00727E1B">
              <w:rPr>
                <w:noProof/>
                <w:webHidden/>
              </w:rPr>
              <w:fldChar w:fldCharType="begin"/>
            </w:r>
            <w:r w:rsidR="00727E1B">
              <w:rPr>
                <w:noProof/>
                <w:webHidden/>
              </w:rPr>
              <w:instrText xml:space="preserve"> PAGEREF _Toc19192536 \h </w:instrText>
            </w:r>
            <w:r w:rsidR="00727E1B">
              <w:rPr>
                <w:noProof/>
                <w:webHidden/>
              </w:rPr>
            </w:r>
            <w:r w:rsidR="00727E1B">
              <w:rPr>
                <w:noProof/>
                <w:webHidden/>
              </w:rPr>
              <w:fldChar w:fldCharType="separate"/>
            </w:r>
            <w:r w:rsidR="00207406">
              <w:rPr>
                <w:noProof/>
                <w:webHidden/>
              </w:rPr>
              <w:t>13</w:t>
            </w:r>
            <w:r w:rsidR="00727E1B">
              <w:rPr>
                <w:noProof/>
                <w:webHidden/>
              </w:rPr>
              <w:fldChar w:fldCharType="end"/>
            </w:r>
          </w:hyperlink>
        </w:p>
        <w:p w14:paraId="71EA52D2" w14:textId="5E1D18FA" w:rsidR="00727E1B" w:rsidRDefault="00C232EF">
          <w:pPr>
            <w:pStyle w:val="TOC1"/>
            <w:rPr>
              <w:rFonts w:asciiTheme="minorHAnsi" w:eastAsiaTheme="minorEastAsia" w:hAnsiTheme="minorHAnsi"/>
              <w:noProof/>
              <w:sz w:val="24"/>
              <w:szCs w:val="24"/>
              <w:lang w:val="en-US" w:eastAsia="zh-CN"/>
            </w:rPr>
          </w:pPr>
          <w:hyperlink w:anchor="_Toc19192537" w:history="1">
            <w:r w:rsidR="00727E1B" w:rsidRPr="00950C71">
              <w:rPr>
                <w:rStyle w:val="Hyperlink"/>
                <w:noProof/>
              </w:rPr>
              <w:t>Article 13</w:t>
            </w:r>
            <w:r w:rsidR="00727E1B">
              <w:rPr>
                <w:rFonts w:asciiTheme="minorHAnsi" w:eastAsiaTheme="minorEastAsia" w:hAnsiTheme="minorHAnsi"/>
                <w:noProof/>
                <w:sz w:val="24"/>
                <w:szCs w:val="24"/>
                <w:lang w:val="en-US" w:eastAsia="zh-CN"/>
              </w:rPr>
              <w:tab/>
            </w:r>
            <w:r w:rsidR="00727E1B" w:rsidRPr="00950C71">
              <w:rPr>
                <w:rStyle w:val="Hyperlink"/>
                <w:noProof/>
              </w:rPr>
              <w:t>Publication</w:t>
            </w:r>
            <w:r w:rsidR="00727E1B">
              <w:rPr>
                <w:noProof/>
                <w:webHidden/>
              </w:rPr>
              <w:tab/>
            </w:r>
            <w:r w:rsidR="00727E1B">
              <w:rPr>
                <w:noProof/>
                <w:webHidden/>
              </w:rPr>
              <w:fldChar w:fldCharType="begin"/>
            </w:r>
            <w:r w:rsidR="00727E1B">
              <w:rPr>
                <w:noProof/>
                <w:webHidden/>
              </w:rPr>
              <w:instrText xml:space="preserve"> PAGEREF _Toc19192537 \h </w:instrText>
            </w:r>
            <w:r w:rsidR="00727E1B">
              <w:rPr>
                <w:noProof/>
                <w:webHidden/>
              </w:rPr>
            </w:r>
            <w:r w:rsidR="00727E1B">
              <w:rPr>
                <w:noProof/>
                <w:webHidden/>
              </w:rPr>
              <w:fldChar w:fldCharType="separate"/>
            </w:r>
            <w:r w:rsidR="00207406">
              <w:rPr>
                <w:noProof/>
                <w:webHidden/>
              </w:rPr>
              <w:t>15</w:t>
            </w:r>
            <w:r w:rsidR="00727E1B">
              <w:rPr>
                <w:noProof/>
                <w:webHidden/>
              </w:rPr>
              <w:fldChar w:fldCharType="end"/>
            </w:r>
          </w:hyperlink>
        </w:p>
        <w:p w14:paraId="45783BE6" w14:textId="23B7A8BF" w:rsidR="00727E1B" w:rsidRDefault="00C232EF">
          <w:pPr>
            <w:pStyle w:val="TOC1"/>
            <w:rPr>
              <w:rFonts w:asciiTheme="minorHAnsi" w:eastAsiaTheme="minorEastAsia" w:hAnsiTheme="minorHAnsi"/>
              <w:noProof/>
              <w:sz w:val="24"/>
              <w:szCs w:val="24"/>
              <w:lang w:val="en-US" w:eastAsia="zh-CN"/>
            </w:rPr>
          </w:pPr>
          <w:hyperlink w:anchor="_Toc19192538" w:history="1">
            <w:r w:rsidR="00727E1B" w:rsidRPr="00950C71">
              <w:rPr>
                <w:rStyle w:val="Hyperlink"/>
                <w:noProof/>
              </w:rPr>
              <w:t>Article 14</w:t>
            </w:r>
            <w:r w:rsidR="00727E1B">
              <w:rPr>
                <w:rFonts w:asciiTheme="minorHAnsi" w:eastAsiaTheme="minorEastAsia" w:hAnsiTheme="minorHAnsi"/>
                <w:noProof/>
                <w:sz w:val="24"/>
                <w:szCs w:val="24"/>
                <w:lang w:val="en-US" w:eastAsia="zh-CN"/>
              </w:rPr>
              <w:tab/>
            </w:r>
            <w:r w:rsidR="00727E1B" w:rsidRPr="00950C71">
              <w:rPr>
                <w:rStyle w:val="Hyperlink"/>
                <w:noProof/>
              </w:rPr>
              <w:t>Language</w:t>
            </w:r>
            <w:r w:rsidR="00727E1B">
              <w:rPr>
                <w:noProof/>
                <w:webHidden/>
              </w:rPr>
              <w:tab/>
            </w:r>
            <w:r w:rsidR="00727E1B">
              <w:rPr>
                <w:noProof/>
                <w:webHidden/>
              </w:rPr>
              <w:fldChar w:fldCharType="begin"/>
            </w:r>
            <w:r w:rsidR="00727E1B">
              <w:rPr>
                <w:noProof/>
                <w:webHidden/>
              </w:rPr>
              <w:instrText xml:space="preserve"> PAGEREF _Toc19192538 \h </w:instrText>
            </w:r>
            <w:r w:rsidR="00727E1B">
              <w:rPr>
                <w:noProof/>
                <w:webHidden/>
              </w:rPr>
            </w:r>
            <w:r w:rsidR="00727E1B">
              <w:rPr>
                <w:noProof/>
                <w:webHidden/>
              </w:rPr>
              <w:fldChar w:fldCharType="separate"/>
            </w:r>
            <w:r w:rsidR="00207406">
              <w:rPr>
                <w:noProof/>
                <w:webHidden/>
              </w:rPr>
              <w:t>15</w:t>
            </w:r>
            <w:r w:rsidR="00727E1B">
              <w:rPr>
                <w:noProof/>
                <w:webHidden/>
              </w:rPr>
              <w:fldChar w:fldCharType="end"/>
            </w:r>
          </w:hyperlink>
        </w:p>
        <w:p w14:paraId="42099219" w14:textId="75036749" w:rsidR="00730769" w:rsidRPr="003832F2" w:rsidRDefault="00730769" w:rsidP="00647B80">
          <w:pPr>
            <w:spacing w:after="120" w:line="276" w:lineRule="auto"/>
            <w:rPr>
              <w:rFonts w:ascii="Calibri" w:hAnsi="Calibri" w:cs="Times New Roman"/>
            </w:rPr>
          </w:pPr>
          <w:r w:rsidRPr="00AE1E68">
            <w:rPr>
              <w:rFonts w:cstheme="minorHAnsi"/>
              <w:b/>
              <w:bCs/>
            </w:rPr>
            <w:fldChar w:fldCharType="end"/>
          </w:r>
        </w:p>
      </w:sdtContent>
    </w:sdt>
    <w:p w14:paraId="28F74312" w14:textId="77777777" w:rsidR="00694ED2" w:rsidRDefault="00694ED2">
      <w:pPr>
        <w:rPr>
          <w:bCs/>
          <w:iCs/>
        </w:rPr>
      </w:pPr>
      <w:bookmarkStart w:id="1" w:name="_Toc378091729"/>
      <w:r>
        <w:rPr>
          <w:bCs/>
          <w:iCs/>
        </w:rPr>
        <w:br w:type="page"/>
      </w:r>
    </w:p>
    <w:p w14:paraId="58B9E9C1" w14:textId="724700D1" w:rsidR="004A1545" w:rsidRPr="00370ACD" w:rsidRDefault="00264F38" w:rsidP="00647B80">
      <w:pPr>
        <w:pStyle w:val="textregular"/>
        <w:spacing w:line="276" w:lineRule="auto"/>
      </w:pPr>
      <w:r w:rsidRPr="009F1102">
        <w:rPr>
          <w:bCs/>
          <w:iCs/>
        </w:rPr>
        <w:lastRenderedPageBreak/>
        <w:t>Core</w:t>
      </w:r>
      <w:r w:rsidR="00375973">
        <w:t xml:space="preserve"> </w:t>
      </w:r>
      <w:r w:rsidR="00B26A79">
        <w:t>Transmission System Operators</w:t>
      </w:r>
      <w:r w:rsidR="00823CEE">
        <w:t xml:space="preserve"> </w:t>
      </w:r>
      <w:r w:rsidR="004A1545" w:rsidRPr="00370ACD">
        <w:t>taking into account the following</w:t>
      </w:r>
      <w:r w:rsidR="00D53737">
        <w:t>:</w:t>
      </w:r>
    </w:p>
    <w:p w14:paraId="6F497AC2" w14:textId="77777777" w:rsidR="004A1545" w:rsidRPr="00370ACD" w:rsidRDefault="004A1545" w:rsidP="00F45213">
      <w:pPr>
        <w:pStyle w:val="headline1"/>
        <w:numPr>
          <w:ilvl w:val="0"/>
          <w:numId w:val="0"/>
        </w:numPr>
        <w:ind w:left="360"/>
      </w:pPr>
      <w:bookmarkStart w:id="2" w:name="_Toc456339227"/>
      <w:bookmarkStart w:id="3" w:name="_Toc505249293"/>
      <w:bookmarkStart w:id="4" w:name="_Toc19192523"/>
      <w:r w:rsidRPr="00370ACD">
        <w:t>Whereas</w:t>
      </w:r>
      <w:bookmarkEnd w:id="2"/>
      <w:bookmarkEnd w:id="3"/>
      <w:bookmarkEnd w:id="4"/>
    </w:p>
    <w:p w14:paraId="70F76906" w14:textId="3B14DBF7" w:rsidR="00823CEE" w:rsidRDefault="002A24B3" w:rsidP="00647B80">
      <w:pPr>
        <w:pStyle w:val="ListParagraph"/>
        <w:numPr>
          <w:ilvl w:val="0"/>
          <w:numId w:val="5"/>
        </w:numPr>
        <w:spacing w:after="120" w:line="276" w:lineRule="auto"/>
        <w:ind w:left="360"/>
        <w:contextualSpacing w:val="0"/>
        <w:rPr>
          <w:rFonts w:cstheme="minorHAnsi"/>
          <w:color w:val="000000" w:themeColor="text1"/>
          <w:lang w:val="en-GB"/>
        </w:rPr>
      </w:pPr>
      <w:r>
        <w:rPr>
          <w:rFonts w:cstheme="minorHAnsi"/>
          <w:color w:val="000000" w:themeColor="text1"/>
          <w:lang w:val="en-GB"/>
        </w:rPr>
        <w:t xml:space="preserve">This document is the methodology </w:t>
      </w:r>
      <w:r w:rsidR="004A1545" w:rsidRPr="002D7A5D">
        <w:rPr>
          <w:rFonts w:cstheme="minorHAnsi"/>
          <w:color w:val="000000" w:themeColor="text1"/>
          <w:lang w:val="en-GB"/>
        </w:rPr>
        <w:t xml:space="preserve">by </w:t>
      </w:r>
      <w:r>
        <w:rPr>
          <w:rFonts w:cstheme="minorHAnsi"/>
          <w:color w:val="000000" w:themeColor="text1"/>
          <w:lang w:val="en-GB"/>
        </w:rPr>
        <w:t>the</w:t>
      </w:r>
      <w:r w:rsidR="007D4564">
        <w:rPr>
          <w:b/>
          <w:i/>
        </w:rPr>
        <w:t xml:space="preserve"> </w:t>
      </w:r>
      <w:r w:rsidR="00264F38" w:rsidRPr="009F1102">
        <w:rPr>
          <w:bCs/>
          <w:iCs/>
        </w:rPr>
        <w:t>Core</w:t>
      </w:r>
      <w:r w:rsidR="00375973">
        <w:t xml:space="preserve"> </w:t>
      </w:r>
      <w:r w:rsidR="004A1545" w:rsidRPr="002D7A5D">
        <w:rPr>
          <w:rFonts w:cstheme="minorHAnsi"/>
          <w:color w:val="000000" w:themeColor="text1"/>
          <w:lang w:val="en-GB"/>
        </w:rPr>
        <w:t xml:space="preserve">Transmission System Operators </w:t>
      </w:r>
      <w:r w:rsidR="004A1545" w:rsidRPr="00370ACD">
        <w:rPr>
          <w:rFonts w:cstheme="minorHAnsi"/>
          <w:color w:val="000000" w:themeColor="text1"/>
          <w:lang w:val="en-GB"/>
        </w:rPr>
        <w:t>(</w:t>
      </w:r>
      <w:r w:rsidR="004A1545" w:rsidRPr="009F1102">
        <w:rPr>
          <w:rFonts w:cstheme="minorHAnsi"/>
          <w:bCs/>
          <w:color w:val="000000" w:themeColor="text1"/>
          <w:lang w:val="en-GB"/>
        </w:rPr>
        <w:t>TSOs</w:t>
      </w:r>
      <w:r w:rsidR="004A1545" w:rsidRPr="00370ACD">
        <w:rPr>
          <w:rFonts w:cstheme="minorHAnsi"/>
          <w:color w:val="000000" w:themeColor="text1"/>
          <w:lang w:val="en-GB"/>
        </w:rPr>
        <w:t>)</w:t>
      </w:r>
      <w:r w:rsidR="002D7A5D">
        <w:rPr>
          <w:rFonts w:cstheme="minorHAnsi"/>
          <w:color w:val="000000" w:themeColor="text1"/>
          <w:lang w:val="en-GB"/>
        </w:rPr>
        <w:t xml:space="preserve"> of the </w:t>
      </w:r>
      <w:r w:rsidR="00264F38" w:rsidRPr="009F1102">
        <w:rPr>
          <w:bCs/>
          <w:iCs/>
        </w:rPr>
        <w:t>Core</w:t>
      </w:r>
      <w:r w:rsidR="00AE1E68">
        <w:t xml:space="preserve"> </w:t>
      </w:r>
      <w:r w:rsidR="002D7A5D">
        <w:rPr>
          <w:rFonts w:cstheme="minorHAnsi"/>
          <w:color w:val="000000" w:themeColor="text1"/>
          <w:lang w:val="en-GB"/>
        </w:rPr>
        <w:t xml:space="preserve">Capacity Calculation Region </w:t>
      </w:r>
      <w:r w:rsidR="00735F4C">
        <w:rPr>
          <w:rFonts w:cstheme="minorHAnsi"/>
          <w:color w:val="000000" w:themeColor="text1"/>
          <w:lang w:val="en-GB"/>
        </w:rPr>
        <w:t xml:space="preserve">as defined in the latest methodology in accordance to article 15 of the CACMGL </w:t>
      </w:r>
      <w:r>
        <w:rPr>
          <w:rFonts w:cstheme="minorHAnsi"/>
          <w:color w:val="000000" w:themeColor="text1"/>
          <w:lang w:val="en-GB"/>
        </w:rPr>
        <w:t>(hereafter referred to as “</w:t>
      </w:r>
      <w:r w:rsidR="00735F4C">
        <w:rPr>
          <w:rFonts w:cstheme="minorHAnsi"/>
          <w:color w:val="000000" w:themeColor="text1"/>
          <w:lang w:val="en-GB"/>
        </w:rPr>
        <w:t xml:space="preserve">CCR </w:t>
      </w:r>
      <w:r w:rsidR="00264F38" w:rsidRPr="009F1102">
        <w:rPr>
          <w:bCs/>
          <w:iCs/>
        </w:rPr>
        <w:t>Core</w:t>
      </w:r>
      <w:r>
        <w:rPr>
          <w:rFonts w:cstheme="minorHAnsi"/>
          <w:color w:val="000000" w:themeColor="text1"/>
          <w:lang w:val="en-GB"/>
        </w:rPr>
        <w:t>”).</w:t>
      </w:r>
      <w:r w:rsidR="00076649">
        <w:rPr>
          <w:rFonts w:cstheme="minorHAnsi"/>
          <w:color w:val="000000" w:themeColor="text1"/>
          <w:lang w:val="en-GB"/>
        </w:rPr>
        <w:t xml:space="preserve"> The document provides a </w:t>
      </w:r>
      <w:r w:rsidR="004A1545" w:rsidRPr="00370ACD">
        <w:rPr>
          <w:rFonts w:cstheme="minorHAnsi"/>
          <w:color w:val="000000" w:themeColor="text1"/>
          <w:lang w:val="en-GB"/>
        </w:rPr>
        <w:t xml:space="preserve">methodology for </w:t>
      </w:r>
      <w:r w:rsidR="00286E94">
        <w:rPr>
          <w:rFonts w:cstheme="minorHAnsi"/>
          <w:color w:val="000000" w:themeColor="text1"/>
          <w:lang w:val="en-GB"/>
        </w:rPr>
        <w:t>a</w:t>
      </w:r>
      <w:r w:rsidR="007D4564">
        <w:rPr>
          <w:rFonts w:cstheme="minorHAnsi"/>
          <w:color w:val="000000" w:themeColor="text1"/>
          <w:lang w:val="en-GB"/>
        </w:rPr>
        <w:t>n</w:t>
      </w:r>
      <w:r w:rsidR="00286E94">
        <w:rPr>
          <w:rFonts w:cstheme="minorHAnsi"/>
          <w:color w:val="000000" w:themeColor="text1"/>
          <w:lang w:val="en-GB"/>
        </w:rPr>
        <w:t xml:space="preserve"> </w:t>
      </w:r>
      <w:r w:rsidR="008A74B3">
        <w:rPr>
          <w:rFonts w:cstheme="minorHAnsi"/>
          <w:color w:val="000000" w:themeColor="text1"/>
          <w:lang w:val="en-GB"/>
        </w:rPr>
        <w:t xml:space="preserve">allocation process of cross </w:t>
      </w:r>
      <w:r w:rsidR="00286E94">
        <w:rPr>
          <w:rFonts w:cstheme="minorHAnsi"/>
          <w:color w:val="000000" w:themeColor="text1"/>
          <w:lang w:val="en-GB"/>
        </w:rPr>
        <w:t xml:space="preserve">zonal capacity for the exchange of balancing capacity or sharing </w:t>
      </w:r>
      <w:r w:rsidR="00276796">
        <w:rPr>
          <w:rFonts w:cstheme="minorHAnsi"/>
          <w:color w:val="000000" w:themeColor="text1"/>
          <w:lang w:val="en-GB"/>
        </w:rPr>
        <w:t xml:space="preserve">of </w:t>
      </w:r>
      <w:r w:rsidR="00286E94">
        <w:rPr>
          <w:rFonts w:cstheme="minorHAnsi"/>
          <w:color w:val="000000" w:themeColor="text1"/>
          <w:lang w:val="en-GB"/>
        </w:rPr>
        <w:t>reserves</w:t>
      </w:r>
      <w:r w:rsidR="007D4564">
        <w:rPr>
          <w:rFonts w:cstheme="minorHAnsi"/>
          <w:color w:val="000000" w:themeColor="text1"/>
          <w:lang w:val="en-GB"/>
        </w:rPr>
        <w:t xml:space="preserve"> based on economic efficiency analysis</w:t>
      </w:r>
      <w:r w:rsidR="00983B74">
        <w:rPr>
          <w:rFonts w:cstheme="minorHAnsi"/>
          <w:color w:val="000000" w:themeColor="text1"/>
          <w:lang w:val="en-GB"/>
        </w:rPr>
        <w:t xml:space="preserve"> (hereafter referred to as “</w:t>
      </w:r>
      <w:r w:rsidR="007D4564" w:rsidRPr="009F1102">
        <w:rPr>
          <w:rFonts w:cstheme="minorHAnsi"/>
          <w:bCs/>
          <w:color w:val="000000" w:themeColor="text1"/>
          <w:lang w:val="en-GB"/>
        </w:rPr>
        <w:t>EE</w:t>
      </w:r>
      <w:r w:rsidR="00DE3D66">
        <w:rPr>
          <w:rFonts w:cstheme="minorHAnsi"/>
          <w:b/>
          <w:color w:val="000000" w:themeColor="text1"/>
          <w:lang w:val="en-GB"/>
        </w:rPr>
        <w:t xml:space="preserve"> </w:t>
      </w:r>
      <w:r w:rsidR="00DE3D66" w:rsidRPr="009F1102">
        <w:rPr>
          <w:rFonts w:cstheme="minorHAnsi"/>
          <w:bCs/>
          <w:color w:val="000000" w:themeColor="text1"/>
          <w:lang w:val="en-GB"/>
        </w:rPr>
        <w:t>CZCA</w:t>
      </w:r>
      <w:r w:rsidR="00D62BC9" w:rsidRPr="009F1102">
        <w:rPr>
          <w:rFonts w:cstheme="minorHAnsi"/>
          <w:bCs/>
          <w:color w:val="000000" w:themeColor="text1"/>
          <w:lang w:val="en-GB"/>
        </w:rPr>
        <w:t xml:space="preserve"> </w:t>
      </w:r>
      <w:r w:rsidR="008718E9">
        <w:rPr>
          <w:rFonts w:cstheme="minorHAnsi"/>
          <w:bCs/>
          <w:color w:val="000000" w:themeColor="text1"/>
          <w:lang w:val="en-GB"/>
        </w:rPr>
        <w:t>methodology</w:t>
      </w:r>
      <w:r w:rsidR="004E4BEF" w:rsidRPr="00370ACD">
        <w:rPr>
          <w:rFonts w:cstheme="minorHAnsi"/>
          <w:color w:val="000000" w:themeColor="text1"/>
          <w:lang w:val="en-GB"/>
        </w:rPr>
        <w:t xml:space="preserve">”) in accordance with </w:t>
      </w:r>
      <w:r w:rsidR="00735F4C">
        <w:rPr>
          <w:rFonts w:cstheme="minorHAnsi"/>
          <w:color w:val="000000" w:themeColor="text1"/>
          <w:lang w:val="en-GB"/>
        </w:rPr>
        <w:t>article</w:t>
      </w:r>
      <w:r w:rsidR="004E4BEF" w:rsidRPr="00370ACD">
        <w:rPr>
          <w:rFonts w:cstheme="minorHAnsi"/>
          <w:color w:val="000000" w:themeColor="text1"/>
          <w:lang w:val="en-GB"/>
        </w:rPr>
        <w:t xml:space="preserve"> </w:t>
      </w:r>
      <w:r w:rsidR="00366215">
        <w:rPr>
          <w:rFonts w:cstheme="minorHAnsi"/>
          <w:color w:val="000000" w:themeColor="text1"/>
          <w:lang w:val="en-GB"/>
        </w:rPr>
        <w:t>4</w:t>
      </w:r>
      <w:r w:rsidR="007D4564">
        <w:rPr>
          <w:rFonts w:cstheme="minorHAnsi"/>
          <w:color w:val="000000" w:themeColor="text1"/>
          <w:lang w:val="en-GB"/>
        </w:rPr>
        <w:t>2</w:t>
      </w:r>
      <w:r w:rsidR="00A55277" w:rsidRPr="00370ACD">
        <w:rPr>
          <w:rFonts w:cstheme="minorHAnsi"/>
          <w:color w:val="000000" w:themeColor="text1"/>
          <w:lang w:val="en-GB"/>
        </w:rPr>
        <w:t xml:space="preserve"> </w:t>
      </w:r>
      <w:r w:rsidR="004E4BEF" w:rsidRPr="00370ACD">
        <w:rPr>
          <w:rFonts w:cstheme="minorHAnsi"/>
          <w:color w:val="000000" w:themeColor="text1"/>
          <w:lang w:val="en-GB"/>
        </w:rPr>
        <w:t>of Commission Regulation (EU) 201</w:t>
      </w:r>
      <w:r w:rsidR="00286E94">
        <w:rPr>
          <w:rFonts w:cstheme="minorHAnsi"/>
          <w:color w:val="000000" w:themeColor="text1"/>
          <w:lang w:val="en-GB"/>
        </w:rPr>
        <w:t>7/</w:t>
      </w:r>
      <w:r w:rsidR="004E4BEF" w:rsidRPr="00370ACD">
        <w:rPr>
          <w:rFonts w:cstheme="minorHAnsi"/>
          <w:color w:val="000000" w:themeColor="text1"/>
          <w:lang w:val="en-GB"/>
        </w:rPr>
        <w:t>2</w:t>
      </w:r>
      <w:r w:rsidR="00286E94">
        <w:rPr>
          <w:rFonts w:cstheme="minorHAnsi"/>
          <w:color w:val="000000" w:themeColor="text1"/>
          <w:lang w:val="en-GB"/>
        </w:rPr>
        <w:t>195</w:t>
      </w:r>
      <w:r w:rsidR="004E4BEF" w:rsidRPr="00370ACD">
        <w:rPr>
          <w:rFonts w:cstheme="minorHAnsi"/>
          <w:color w:val="000000" w:themeColor="text1"/>
          <w:lang w:val="en-GB"/>
        </w:rPr>
        <w:t xml:space="preserve"> establishing a guideline on </w:t>
      </w:r>
      <w:r w:rsidR="00286E94">
        <w:rPr>
          <w:rFonts w:cstheme="minorHAnsi"/>
          <w:color w:val="000000" w:themeColor="text1"/>
          <w:lang w:val="en-GB"/>
        </w:rPr>
        <w:t>electricity balancing</w:t>
      </w:r>
      <w:r w:rsidR="004E4BEF" w:rsidRPr="00370ACD">
        <w:rPr>
          <w:rFonts w:cstheme="minorHAnsi"/>
          <w:color w:val="000000" w:themeColor="text1"/>
          <w:lang w:val="en-GB"/>
        </w:rPr>
        <w:t xml:space="preserve"> (hereafter referred to as</w:t>
      </w:r>
      <w:r w:rsidR="00A138E8" w:rsidRPr="00370ACD">
        <w:rPr>
          <w:rFonts w:cstheme="minorHAnsi"/>
          <w:color w:val="000000" w:themeColor="text1"/>
          <w:lang w:val="en-GB"/>
        </w:rPr>
        <w:t xml:space="preserve"> </w:t>
      </w:r>
      <w:r w:rsidR="00983B74">
        <w:rPr>
          <w:rFonts w:cstheme="minorHAnsi"/>
          <w:color w:val="000000" w:themeColor="text1"/>
          <w:lang w:val="en-GB"/>
        </w:rPr>
        <w:t>“</w:t>
      </w:r>
      <w:r w:rsidR="001059B1" w:rsidRPr="009F1102">
        <w:rPr>
          <w:rFonts w:cstheme="minorHAnsi"/>
          <w:bCs/>
          <w:color w:val="000000" w:themeColor="text1"/>
          <w:lang w:val="en-GB"/>
        </w:rPr>
        <w:t>EBGL</w:t>
      </w:r>
      <w:r w:rsidR="004E4BEF" w:rsidRPr="00370ACD">
        <w:rPr>
          <w:rFonts w:cstheme="minorHAnsi"/>
          <w:color w:val="000000" w:themeColor="text1"/>
          <w:lang w:val="en-GB"/>
        </w:rPr>
        <w:t xml:space="preserve">”). </w:t>
      </w:r>
    </w:p>
    <w:p w14:paraId="2E1E68FF" w14:textId="52CCF433" w:rsidR="009C48C1" w:rsidRDefault="009C48C1" w:rsidP="00647B80">
      <w:pPr>
        <w:pStyle w:val="ListParagraph"/>
        <w:numPr>
          <w:ilvl w:val="0"/>
          <w:numId w:val="5"/>
        </w:numPr>
        <w:spacing w:after="120" w:line="276" w:lineRule="auto"/>
        <w:ind w:left="357" w:hanging="357"/>
        <w:contextualSpacing w:val="0"/>
        <w:rPr>
          <w:rFonts w:cstheme="minorHAnsi"/>
          <w:color w:val="000000" w:themeColor="text1"/>
          <w:lang w:val="en-GB"/>
        </w:rPr>
      </w:pPr>
      <w:r>
        <w:rPr>
          <w:rFonts w:cstheme="minorHAnsi"/>
          <w:color w:val="000000" w:themeColor="text1"/>
          <w:lang w:val="en-GB"/>
        </w:rPr>
        <w:t xml:space="preserve">The </w:t>
      </w:r>
      <w:r w:rsidR="00193ECF">
        <w:rPr>
          <w:rFonts w:cstheme="minorHAnsi"/>
          <w:color w:val="000000" w:themeColor="text1"/>
          <w:lang w:val="en-GB"/>
        </w:rPr>
        <w:t xml:space="preserve">EE CZCA </w:t>
      </w:r>
      <w:r w:rsidR="008718E9">
        <w:rPr>
          <w:rFonts w:cstheme="minorHAnsi"/>
          <w:color w:val="000000" w:themeColor="text1"/>
          <w:lang w:val="en-GB"/>
        </w:rPr>
        <w:t>methodology</w:t>
      </w:r>
      <w:r w:rsidRPr="0026739D">
        <w:rPr>
          <w:rFonts w:cstheme="minorHAnsi"/>
          <w:color w:val="000000" w:themeColor="text1"/>
          <w:lang w:val="en-GB"/>
        </w:rPr>
        <w:t xml:space="preserve"> takes into account the general principles and goals set in the EBGL, the Regulation (EC) 2017/1485 establishing a guideline on electricity transmission system operation (hereafter referred to as the “</w:t>
      </w:r>
      <w:r w:rsidRPr="009F1102">
        <w:rPr>
          <w:rFonts w:cstheme="minorHAnsi"/>
          <w:bCs/>
          <w:color w:val="000000" w:themeColor="text1"/>
          <w:lang w:val="en-GB"/>
        </w:rPr>
        <w:t>SOGL</w:t>
      </w:r>
      <w:r w:rsidRPr="0026739D">
        <w:rPr>
          <w:rFonts w:cstheme="minorHAnsi"/>
          <w:color w:val="000000" w:themeColor="text1"/>
          <w:lang w:val="en-GB"/>
        </w:rPr>
        <w:t>”), Commission Regulation (EU) 2015/1222 of 24 July 2015 establishing a guideline on capacity allocation and congestion management (hereafter referred to as the “</w:t>
      </w:r>
      <w:r w:rsidR="008718E9">
        <w:rPr>
          <w:rFonts w:cstheme="minorHAnsi"/>
          <w:bCs/>
          <w:color w:val="000000" w:themeColor="text1"/>
          <w:lang w:val="en-GB"/>
        </w:rPr>
        <w:t>CACMGL</w:t>
      </w:r>
      <w:r w:rsidRPr="0026739D">
        <w:rPr>
          <w:rFonts w:cstheme="minorHAnsi"/>
          <w:color w:val="000000" w:themeColor="text1"/>
          <w:lang w:val="en-GB"/>
        </w:rPr>
        <w:t xml:space="preserve">”) as well as Regulation </w:t>
      </w:r>
      <w:r w:rsidR="004778B8" w:rsidRPr="0026739D">
        <w:rPr>
          <w:rFonts w:cstheme="minorHAnsi"/>
          <w:color w:val="000000" w:themeColor="text1"/>
          <w:lang w:val="en-GB"/>
        </w:rPr>
        <w:t>(</w:t>
      </w:r>
      <w:r w:rsidR="004778B8">
        <w:rPr>
          <w:rFonts w:cstheme="minorHAnsi"/>
          <w:color w:val="000000" w:themeColor="text1"/>
          <w:lang w:val="en-GB"/>
        </w:rPr>
        <w:t>EU</w:t>
      </w:r>
      <w:r w:rsidR="004778B8" w:rsidRPr="0026739D">
        <w:rPr>
          <w:rFonts w:cstheme="minorHAnsi"/>
          <w:color w:val="000000" w:themeColor="text1"/>
          <w:lang w:val="en-GB"/>
        </w:rPr>
        <w:t xml:space="preserve">) No </w:t>
      </w:r>
      <w:r w:rsidR="004778B8" w:rsidRPr="00367539">
        <w:rPr>
          <w:rFonts w:cstheme="minorHAnsi"/>
          <w:color w:val="000000" w:themeColor="text1"/>
          <w:lang w:val="en-GB"/>
        </w:rPr>
        <w:t>2019/943 of 5 June 2019 on the internal market for electricity</w:t>
      </w:r>
      <w:r w:rsidR="004778B8" w:rsidRPr="00367539" w:rsidDel="00367539">
        <w:rPr>
          <w:rFonts w:cstheme="minorHAnsi"/>
          <w:color w:val="000000" w:themeColor="text1"/>
          <w:lang w:val="en-GB"/>
        </w:rPr>
        <w:t xml:space="preserve"> </w:t>
      </w:r>
      <w:r w:rsidRPr="0026739D">
        <w:rPr>
          <w:rFonts w:cstheme="minorHAnsi"/>
          <w:color w:val="000000" w:themeColor="text1"/>
          <w:lang w:val="en-GB"/>
        </w:rPr>
        <w:t>(hereafter referred to as the “</w:t>
      </w:r>
      <w:r w:rsidRPr="009F1102">
        <w:rPr>
          <w:rFonts w:cstheme="minorHAnsi"/>
          <w:bCs/>
          <w:color w:val="000000" w:themeColor="text1"/>
          <w:lang w:val="en-GB"/>
        </w:rPr>
        <w:t>Electricity Regulation</w:t>
      </w:r>
      <w:r w:rsidRPr="0026739D">
        <w:rPr>
          <w:rFonts w:cstheme="minorHAnsi"/>
          <w:color w:val="000000" w:themeColor="text1"/>
          <w:lang w:val="en-GB"/>
        </w:rPr>
        <w:t>”)</w:t>
      </w:r>
      <w:r w:rsidRPr="00DA040E">
        <w:rPr>
          <w:rFonts w:cstheme="minorHAnsi"/>
          <w:color w:val="000000" w:themeColor="text1"/>
          <w:lang w:val="en-GB"/>
        </w:rPr>
        <w:t xml:space="preserve"> as well as Regulation (</w:t>
      </w:r>
      <w:r w:rsidR="00735F4C">
        <w:rPr>
          <w:rFonts w:cstheme="minorHAnsi"/>
          <w:color w:val="000000" w:themeColor="text1"/>
          <w:lang w:val="en-GB"/>
        </w:rPr>
        <w:t>EU</w:t>
      </w:r>
      <w:r w:rsidRPr="00DA040E">
        <w:rPr>
          <w:rFonts w:cstheme="minorHAnsi"/>
          <w:color w:val="000000" w:themeColor="text1"/>
          <w:lang w:val="en-GB"/>
        </w:rPr>
        <w:t>) No 543/2013 of 14 June 2013 on submission and publication of data in electricity markets (hereafter referred to as the “</w:t>
      </w:r>
      <w:r w:rsidRPr="009F1102">
        <w:rPr>
          <w:rFonts w:cstheme="minorHAnsi"/>
          <w:bCs/>
          <w:color w:val="000000" w:themeColor="text1"/>
          <w:lang w:val="en-GB"/>
        </w:rPr>
        <w:t>Transparency Regulation”).</w:t>
      </w:r>
    </w:p>
    <w:p w14:paraId="5FAED09B" w14:textId="1BC1339A" w:rsidR="009C48C1" w:rsidRDefault="009C48C1" w:rsidP="00647B80">
      <w:pPr>
        <w:pStyle w:val="ListParagraph"/>
        <w:numPr>
          <w:ilvl w:val="0"/>
          <w:numId w:val="5"/>
        </w:numPr>
        <w:spacing w:after="120" w:line="276" w:lineRule="auto"/>
        <w:ind w:left="357" w:hanging="357"/>
        <w:contextualSpacing w:val="0"/>
        <w:rPr>
          <w:rFonts w:cstheme="minorHAnsi"/>
          <w:color w:val="000000" w:themeColor="text1"/>
          <w:lang w:val="en-GB"/>
        </w:rPr>
      </w:pPr>
      <w:r>
        <w:rPr>
          <w:rFonts w:cstheme="minorHAnsi"/>
          <w:color w:val="000000" w:themeColor="text1"/>
          <w:lang w:val="en-GB"/>
        </w:rPr>
        <w:t xml:space="preserve">The </w:t>
      </w:r>
      <w:r w:rsidR="00193ECF">
        <w:rPr>
          <w:rFonts w:cstheme="minorHAnsi"/>
          <w:lang w:val="en-GB"/>
        </w:rPr>
        <w:t xml:space="preserve">EE CZCA </w:t>
      </w:r>
      <w:r w:rsidR="008718E9">
        <w:rPr>
          <w:rFonts w:cstheme="minorHAnsi"/>
          <w:lang w:val="en-GB"/>
        </w:rPr>
        <w:t>methodology</w:t>
      </w:r>
      <w:r>
        <w:rPr>
          <w:rFonts w:cstheme="minorHAnsi"/>
          <w:color w:val="000000" w:themeColor="text1"/>
          <w:lang w:val="en-GB"/>
        </w:rPr>
        <w:t xml:space="preserve"> takes into account the general principles, goals and other methodologies set out in the EBGL</w:t>
      </w:r>
      <w:r w:rsidR="00E6744E">
        <w:rPr>
          <w:rFonts w:cstheme="minorHAnsi"/>
          <w:color w:val="000000" w:themeColor="text1"/>
          <w:lang w:val="en-GB"/>
        </w:rPr>
        <w:t>.</w:t>
      </w:r>
      <w:r w:rsidRPr="00A221BB">
        <w:rPr>
          <w:rFonts w:cstheme="minorHAnsi"/>
          <w:color w:val="000000" w:themeColor="text1"/>
          <w:lang w:val="en-GB"/>
        </w:rPr>
        <w:t xml:space="preserve"> The goal of the EBGL is the integration of balancing markets while contributing to operational security. To facilitate this goal, </w:t>
      </w:r>
      <w:r w:rsidRPr="002842A5">
        <w:rPr>
          <w:rFonts w:cstheme="minorHAnsi"/>
          <w:color w:val="000000" w:themeColor="text1"/>
        </w:rPr>
        <w:t>while contributing to operational security</w:t>
      </w:r>
      <w:r>
        <w:rPr>
          <w:rFonts w:cstheme="minorHAnsi"/>
          <w:color w:val="000000" w:themeColor="text1"/>
          <w:lang w:val="en-GB"/>
        </w:rPr>
        <w:t xml:space="preserve">, </w:t>
      </w:r>
      <w:r w:rsidRPr="00A221BB">
        <w:rPr>
          <w:rFonts w:cstheme="minorHAnsi"/>
          <w:color w:val="000000" w:themeColor="text1"/>
          <w:lang w:val="en-GB"/>
        </w:rPr>
        <w:t>it is necessary to integrat</w:t>
      </w:r>
      <w:r>
        <w:rPr>
          <w:rFonts w:cstheme="minorHAnsi"/>
          <w:color w:val="000000" w:themeColor="text1"/>
          <w:lang w:val="en-GB"/>
        </w:rPr>
        <w:t>e</w:t>
      </w:r>
      <w:r w:rsidRPr="00A221BB">
        <w:rPr>
          <w:rFonts w:cstheme="minorHAnsi"/>
          <w:color w:val="000000" w:themeColor="text1"/>
          <w:lang w:val="en-GB"/>
        </w:rPr>
        <w:t xml:space="preserve"> balancing markets and promoting the possibilities for exchanges of balancing services while contributing to operational security.</w:t>
      </w:r>
      <w:r w:rsidR="00621D38">
        <w:rPr>
          <w:rFonts w:cstheme="minorHAnsi"/>
          <w:color w:val="000000" w:themeColor="text1"/>
          <w:lang w:val="en-GB"/>
        </w:rPr>
        <w:t xml:space="preserve"> </w:t>
      </w:r>
    </w:p>
    <w:p w14:paraId="3E33070F" w14:textId="648A9332" w:rsidR="00193ECF" w:rsidRPr="00193ECF" w:rsidRDefault="00193ECF" w:rsidP="008718E9">
      <w:pPr>
        <w:pStyle w:val="ListParagraph"/>
        <w:numPr>
          <w:ilvl w:val="0"/>
          <w:numId w:val="5"/>
        </w:numPr>
        <w:spacing w:after="120" w:line="276" w:lineRule="auto"/>
        <w:ind w:left="357" w:hanging="357"/>
        <w:contextualSpacing w:val="0"/>
        <w:rPr>
          <w:rFonts w:cstheme="minorHAnsi"/>
          <w:i/>
          <w:color w:val="000000" w:themeColor="text1"/>
        </w:rPr>
      </w:pPr>
      <w:r>
        <w:rPr>
          <w:rFonts w:cstheme="minorHAnsi"/>
          <w:color w:val="000000" w:themeColor="text1"/>
          <w:lang w:val="en-GB"/>
        </w:rPr>
        <w:t xml:space="preserve">Article 42 of the EBGL constitutes the legal basis for this </w:t>
      </w:r>
      <w:r w:rsidR="008718E9">
        <w:rPr>
          <w:rFonts w:cstheme="minorHAnsi"/>
          <w:color w:val="000000" w:themeColor="text1"/>
          <w:lang w:val="en-GB"/>
        </w:rPr>
        <w:t>methodology.</w:t>
      </w:r>
    </w:p>
    <w:p w14:paraId="23FAD719" w14:textId="4B353027" w:rsidR="00C15E86" w:rsidRDefault="00C15E86" w:rsidP="00647B80">
      <w:pPr>
        <w:pStyle w:val="ListParagraph"/>
        <w:numPr>
          <w:ilvl w:val="0"/>
          <w:numId w:val="5"/>
        </w:numPr>
        <w:spacing w:after="120" w:line="276" w:lineRule="auto"/>
        <w:ind w:left="360"/>
        <w:contextualSpacing w:val="0"/>
        <w:rPr>
          <w:rFonts w:cstheme="minorHAnsi"/>
          <w:color w:val="000000" w:themeColor="text1"/>
          <w:lang w:val="en-GB"/>
        </w:rPr>
      </w:pPr>
      <w:r>
        <w:rPr>
          <w:rFonts w:cstheme="minorHAnsi"/>
          <w:color w:val="000000" w:themeColor="text1"/>
          <w:lang w:val="en-GB"/>
        </w:rPr>
        <w:t xml:space="preserve">The </w:t>
      </w:r>
      <w:r w:rsidR="00193ECF">
        <w:rPr>
          <w:rFonts w:cstheme="minorHAnsi"/>
          <w:color w:val="000000" w:themeColor="text1"/>
          <w:lang w:val="en-GB"/>
        </w:rPr>
        <w:t xml:space="preserve">EE CZCA </w:t>
      </w:r>
      <w:r w:rsidR="008718E9">
        <w:rPr>
          <w:rFonts w:cstheme="minorHAnsi"/>
          <w:color w:val="000000" w:themeColor="text1"/>
          <w:lang w:val="en-GB"/>
        </w:rPr>
        <w:t>methodology</w:t>
      </w:r>
      <w:r>
        <w:rPr>
          <w:rFonts w:cstheme="minorHAnsi"/>
          <w:color w:val="000000" w:themeColor="text1"/>
          <w:lang w:val="en-GB"/>
        </w:rPr>
        <w:t xml:space="preserve"> </w:t>
      </w:r>
      <w:r w:rsidRPr="00977B68">
        <w:rPr>
          <w:rFonts w:cstheme="minorHAnsi"/>
          <w:color w:val="000000" w:themeColor="text1"/>
        </w:rPr>
        <w:t xml:space="preserve">generally contributes to </w:t>
      </w:r>
      <w:r w:rsidR="003C443D">
        <w:rPr>
          <w:rFonts w:cstheme="minorHAnsi"/>
          <w:color w:val="000000" w:themeColor="text1"/>
        </w:rPr>
        <w:t>achieving</w:t>
      </w:r>
      <w:r w:rsidRPr="00977B68">
        <w:rPr>
          <w:rFonts w:cstheme="minorHAnsi"/>
          <w:color w:val="000000" w:themeColor="text1"/>
        </w:rPr>
        <w:t xml:space="preserve"> </w:t>
      </w:r>
      <w:r w:rsidRPr="00A55B2B">
        <w:rPr>
          <w:rFonts w:cstheme="minorHAnsi"/>
          <w:color w:val="000000" w:themeColor="text1"/>
          <w:lang w:val="en-GB"/>
        </w:rPr>
        <w:t>the objective</w:t>
      </w:r>
      <w:r>
        <w:rPr>
          <w:rFonts w:cstheme="minorHAnsi"/>
          <w:color w:val="000000" w:themeColor="text1"/>
          <w:lang w:val="en-GB"/>
        </w:rPr>
        <w:t>s</w:t>
      </w:r>
      <w:r w:rsidRPr="00A55B2B">
        <w:rPr>
          <w:rFonts w:cstheme="minorHAnsi"/>
          <w:color w:val="000000" w:themeColor="text1"/>
          <w:lang w:val="en-GB"/>
        </w:rPr>
        <w:t xml:space="preserve"> stated in </w:t>
      </w:r>
      <w:r w:rsidR="00735F4C">
        <w:rPr>
          <w:rFonts w:cstheme="minorHAnsi"/>
          <w:color w:val="000000" w:themeColor="text1"/>
          <w:lang w:val="en-GB"/>
        </w:rPr>
        <w:t>a</w:t>
      </w:r>
      <w:r w:rsidR="00735F4C" w:rsidRPr="00A55B2B">
        <w:rPr>
          <w:rFonts w:cstheme="minorHAnsi"/>
          <w:color w:val="000000" w:themeColor="text1"/>
          <w:lang w:val="en-GB"/>
        </w:rPr>
        <w:t xml:space="preserve">rticle </w:t>
      </w:r>
      <w:r w:rsidRPr="00A55B2B">
        <w:rPr>
          <w:rFonts w:cstheme="minorHAnsi"/>
          <w:color w:val="000000" w:themeColor="text1"/>
          <w:lang w:val="en-GB"/>
        </w:rPr>
        <w:t>3 of the EBGL</w:t>
      </w:r>
      <w:r>
        <w:rPr>
          <w:rFonts w:cstheme="minorHAnsi"/>
          <w:color w:val="000000" w:themeColor="text1"/>
          <w:lang w:val="en-GB"/>
        </w:rPr>
        <w:t xml:space="preserve">. </w:t>
      </w:r>
      <w:r w:rsidRPr="00977B68">
        <w:rPr>
          <w:rFonts w:cstheme="minorHAnsi"/>
          <w:color w:val="000000" w:themeColor="text1"/>
        </w:rPr>
        <w:t xml:space="preserve">In particular, </w:t>
      </w:r>
      <w:r>
        <w:rPr>
          <w:rFonts w:cstheme="minorHAnsi"/>
          <w:color w:val="000000" w:themeColor="text1"/>
        </w:rPr>
        <w:t xml:space="preserve">this </w:t>
      </w:r>
      <w:r w:rsidR="00193ECF">
        <w:rPr>
          <w:rFonts w:cstheme="minorHAnsi"/>
          <w:color w:val="000000" w:themeColor="text1"/>
        </w:rPr>
        <w:t xml:space="preserve">EE CZCA </w:t>
      </w:r>
      <w:r w:rsidR="008718E9">
        <w:rPr>
          <w:rFonts w:cstheme="minorHAnsi"/>
          <w:color w:val="000000" w:themeColor="text1"/>
        </w:rPr>
        <w:t>methodology</w:t>
      </w:r>
      <w:r>
        <w:rPr>
          <w:rFonts w:cstheme="minorHAnsi"/>
          <w:color w:val="000000" w:themeColor="text1"/>
        </w:rPr>
        <w:t xml:space="preserve"> serves the following objectives of the EBGL</w:t>
      </w:r>
      <w:r w:rsidRPr="00A55B2B">
        <w:rPr>
          <w:rFonts w:cstheme="minorHAnsi"/>
          <w:color w:val="000000" w:themeColor="text1"/>
          <w:lang w:val="en-GB"/>
        </w:rPr>
        <w:t>:</w:t>
      </w:r>
    </w:p>
    <w:p w14:paraId="3C5C059C" w14:textId="075AB5D2" w:rsidR="00C15E86" w:rsidRDefault="00C15E86" w:rsidP="00647B80">
      <w:pPr>
        <w:pStyle w:val="ListParagraph"/>
        <w:numPr>
          <w:ilvl w:val="0"/>
          <w:numId w:val="40"/>
        </w:numPr>
        <w:spacing w:after="120" w:line="276" w:lineRule="auto"/>
        <w:ind w:left="714" w:hanging="357"/>
        <w:contextualSpacing w:val="0"/>
        <w:rPr>
          <w:rFonts w:cstheme="minorHAnsi"/>
          <w:color w:val="000000" w:themeColor="text1"/>
        </w:rPr>
      </w:pPr>
      <w:r>
        <w:rPr>
          <w:rFonts w:cstheme="minorHAnsi"/>
          <w:color w:val="000000" w:themeColor="text1"/>
        </w:rPr>
        <w:t xml:space="preserve">The </w:t>
      </w:r>
      <w:r w:rsidR="00193ECF">
        <w:rPr>
          <w:rFonts w:cstheme="minorHAnsi"/>
          <w:color w:val="000000" w:themeColor="text1"/>
        </w:rPr>
        <w:t xml:space="preserve">EE CZCA </w:t>
      </w:r>
      <w:r w:rsidR="008718E9">
        <w:rPr>
          <w:rFonts w:cstheme="minorHAnsi"/>
          <w:color w:val="000000" w:themeColor="text1"/>
        </w:rPr>
        <w:t>methodology</w:t>
      </w:r>
      <w:r>
        <w:rPr>
          <w:rFonts w:cstheme="minorHAnsi"/>
          <w:color w:val="000000" w:themeColor="text1"/>
        </w:rPr>
        <w:t xml:space="preserve"> answers the requirements set out in </w:t>
      </w:r>
      <w:r w:rsidR="00735F4C">
        <w:rPr>
          <w:rFonts w:cstheme="minorHAnsi"/>
          <w:color w:val="000000" w:themeColor="text1"/>
        </w:rPr>
        <w:t>article</w:t>
      </w:r>
      <w:r>
        <w:rPr>
          <w:rFonts w:cstheme="minorHAnsi"/>
          <w:color w:val="000000" w:themeColor="text1"/>
        </w:rPr>
        <w:t xml:space="preserve"> </w:t>
      </w:r>
      <w:r w:rsidR="004778B8">
        <w:rPr>
          <w:rFonts w:cstheme="minorHAnsi"/>
          <w:color w:val="000000" w:themeColor="text1"/>
        </w:rPr>
        <w:t xml:space="preserve">42 </w:t>
      </w:r>
      <w:r>
        <w:rPr>
          <w:rFonts w:cstheme="minorHAnsi"/>
          <w:color w:val="000000" w:themeColor="text1"/>
        </w:rPr>
        <w:t>of the EBGL;</w:t>
      </w:r>
    </w:p>
    <w:p w14:paraId="31501314" w14:textId="3D66BA96" w:rsidR="00C15E86" w:rsidRPr="007933F6" w:rsidRDefault="00C15E86" w:rsidP="00647B80">
      <w:pPr>
        <w:pStyle w:val="ListParagraph"/>
        <w:numPr>
          <w:ilvl w:val="0"/>
          <w:numId w:val="40"/>
        </w:numPr>
        <w:spacing w:after="120" w:line="276" w:lineRule="auto"/>
        <w:ind w:left="714" w:hanging="357"/>
        <w:contextualSpacing w:val="0"/>
        <w:rPr>
          <w:rFonts w:cstheme="minorHAnsi"/>
          <w:color w:val="000000" w:themeColor="text1"/>
        </w:rPr>
      </w:pPr>
      <w:r w:rsidRPr="007933F6">
        <w:rPr>
          <w:rFonts w:cstheme="minorHAnsi"/>
          <w:color w:val="000000" w:themeColor="text1"/>
        </w:rPr>
        <w:t xml:space="preserve">The </w:t>
      </w:r>
      <w:r w:rsidR="00193ECF">
        <w:rPr>
          <w:rFonts w:cstheme="minorHAnsi"/>
          <w:color w:val="000000" w:themeColor="text1"/>
        </w:rPr>
        <w:t xml:space="preserve">EE CZCA </w:t>
      </w:r>
      <w:r w:rsidR="008718E9">
        <w:rPr>
          <w:rFonts w:cstheme="minorHAnsi"/>
          <w:color w:val="000000" w:themeColor="text1"/>
        </w:rPr>
        <w:t>methodology</w:t>
      </w:r>
      <w:r>
        <w:rPr>
          <w:rFonts w:cstheme="minorHAnsi"/>
          <w:color w:val="000000" w:themeColor="text1"/>
        </w:rPr>
        <w:t xml:space="preserve"> </w:t>
      </w:r>
      <w:r w:rsidRPr="007933F6">
        <w:rPr>
          <w:rFonts w:cstheme="minorHAnsi"/>
          <w:color w:val="000000" w:themeColor="text1"/>
        </w:rPr>
        <w:t xml:space="preserve">serves the objective of fostering effective competition, non-discrimination and transparency in balancing markets as stated in </w:t>
      </w:r>
      <w:r w:rsidR="00735F4C">
        <w:rPr>
          <w:rFonts w:cstheme="minorHAnsi"/>
          <w:color w:val="000000" w:themeColor="text1"/>
        </w:rPr>
        <w:t>article</w:t>
      </w:r>
      <w:r>
        <w:rPr>
          <w:rFonts w:cstheme="minorHAnsi"/>
          <w:color w:val="000000" w:themeColor="text1"/>
        </w:rPr>
        <w:t xml:space="preserve"> </w:t>
      </w:r>
      <w:r w:rsidRPr="007933F6">
        <w:rPr>
          <w:rFonts w:cstheme="minorHAnsi"/>
          <w:color w:val="000000" w:themeColor="text1"/>
        </w:rPr>
        <w:t>3(1)(a) of the EBGL by defining the principles</w:t>
      </w:r>
      <w:r w:rsidR="003C443D">
        <w:rPr>
          <w:rFonts w:cstheme="minorHAnsi"/>
          <w:color w:val="000000" w:themeColor="text1"/>
        </w:rPr>
        <w:t xml:space="preserve"> necessary for</w:t>
      </w:r>
      <w:r w:rsidRPr="007933F6">
        <w:rPr>
          <w:rFonts w:cstheme="minorHAnsi"/>
          <w:color w:val="000000" w:themeColor="text1"/>
        </w:rPr>
        <w:t xml:space="preserve"> establish</w:t>
      </w:r>
      <w:r w:rsidR="003C443D">
        <w:rPr>
          <w:rFonts w:cstheme="minorHAnsi"/>
          <w:color w:val="000000" w:themeColor="text1"/>
        </w:rPr>
        <w:t>ing</w:t>
      </w:r>
      <w:r w:rsidRPr="007933F6">
        <w:rPr>
          <w:rFonts w:cstheme="minorHAnsi"/>
          <w:color w:val="000000" w:themeColor="text1"/>
        </w:rPr>
        <w:t xml:space="preserve"> a balancing capacity cooperation</w:t>
      </w:r>
      <w:r w:rsidR="009E22FD">
        <w:rPr>
          <w:rFonts w:cstheme="minorHAnsi"/>
          <w:color w:val="000000" w:themeColor="text1"/>
        </w:rPr>
        <w:t xml:space="preserve"> </w:t>
      </w:r>
      <w:r w:rsidR="000E32CD">
        <w:rPr>
          <w:rFonts w:cstheme="minorHAnsi"/>
          <w:color w:val="000000" w:themeColor="text1"/>
        </w:rPr>
        <w:t>(BCC)</w:t>
      </w:r>
      <w:r w:rsidRPr="007933F6">
        <w:rPr>
          <w:rFonts w:cstheme="minorHAnsi"/>
          <w:color w:val="000000" w:themeColor="text1"/>
        </w:rPr>
        <w:t xml:space="preserve">, using </w:t>
      </w:r>
      <w:r w:rsidR="009F5AC1">
        <w:rPr>
          <w:rFonts w:cstheme="minorHAnsi"/>
          <w:color w:val="000000" w:themeColor="text1"/>
        </w:rPr>
        <w:t>allocation process based on economic efficiency analysis</w:t>
      </w:r>
      <w:r w:rsidR="003C443D">
        <w:rPr>
          <w:rFonts w:cstheme="minorHAnsi"/>
          <w:color w:val="000000" w:themeColor="text1"/>
        </w:rPr>
        <w:t>,</w:t>
      </w:r>
      <w:r w:rsidRPr="007933F6">
        <w:rPr>
          <w:rFonts w:cstheme="minorHAnsi"/>
          <w:color w:val="000000" w:themeColor="text1"/>
        </w:rPr>
        <w:t xml:space="preserve"> and how to notify it as described in articles</w:t>
      </w:r>
      <w:r>
        <w:rPr>
          <w:rFonts w:cstheme="minorHAnsi"/>
          <w:color w:val="000000" w:themeColor="text1"/>
        </w:rPr>
        <w:t xml:space="preserve"> 3</w:t>
      </w:r>
      <w:r w:rsidR="003C443D">
        <w:rPr>
          <w:rFonts w:cstheme="minorHAnsi"/>
          <w:color w:val="000000" w:themeColor="text1"/>
        </w:rPr>
        <w:t xml:space="preserve"> and 4 </w:t>
      </w:r>
      <w:r>
        <w:rPr>
          <w:rFonts w:cstheme="minorHAnsi"/>
          <w:color w:val="000000" w:themeColor="text1"/>
        </w:rPr>
        <w:t xml:space="preserve">of this </w:t>
      </w:r>
      <w:r w:rsidR="00193ECF">
        <w:rPr>
          <w:rFonts w:cstheme="minorHAnsi"/>
          <w:color w:val="000000" w:themeColor="text1"/>
        </w:rPr>
        <w:t xml:space="preserve">EE CZCA </w:t>
      </w:r>
      <w:r w:rsidR="008718E9">
        <w:rPr>
          <w:rFonts w:cstheme="minorHAnsi"/>
          <w:color w:val="000000" w:themeColor="text1"/>
        </w:rPr>
        <w:t>methodology</w:t>
      </w:r>
      <w:r w:rsidRPr="007933F6">
        <w:rPr>
          <w:rFonts w:cstheme="minorHAnsi"/>
          <w:color w:val="000000" w:themeColor="text1"/>
        </w:rPr>
        <w:t>;</w:t>
      </w:r>
    </w:p>
    <w:p w14:paraId="67F8C533" w14:textId="0628D0F8" w:rsidR="00C15E86" w:rsidRPr="007933F6" w:rsidRDefault="00C15E86" w:rsidP="00647B80">
      <w:pPr>
        <w:pStyle w:val="ListParagraph"/>
        <w:numPr>
          <w:ilvl w:val="0"/>
          <w:numId w:val="40"/>
        </w:numPr>
        <w:spacing w:after="120" w:line="276" w:lineRule="auto"/>
        <w:ind w:left="714" w:hanging="357"/>
        <w:contextualSpacing w:val="0"/>
        <w:rPr>
          <w:rFonts w:cstheme="minorHAnsi"/>
          <w:color w:val="000000" w:themeColor="text1"/>
        </w:rPr>
      </w:pPr>
      <w:r>
        <w:rPr>
          <w:rFonts w:cstheme="minorHAnsi"/>
          <w:color w:val="000000" w:themeColor="text1"/>
        </w:rPr>
        <w:t xml:space="preserve">The </w:t>
      </w:r>
      <w:r w:rsidR="00193ECF">
        <w:rPr>
          <w:rFonts w:cstheme="minorHAnsi"/>
          <w:color w:val="000000" w:themeColor="text1"/>
        </w:rPr>
        <w:t xml:space="preserve">EE CZCA </w:t>
      </w:r>
      <w:r w:rsidR="008718E9">
        <w:rPr>
          <w:rFonts w:cstheme="minorHAnsi"/>
          <w:color w:val="000000" w:themeColor="text1"/>
        </w:rPr>
        <w:t>methodology</w:t>
      </w:r>
      <w:r w:rsidRPr="007933F6">
        <w:rPr>
          <w:rFonts w:cstheme="minorHAnsi"/>
          <w:color w:val="000000" w:themeColor="text1"/>
        </w:rPr>
        <w:t xml:space="preserve"> facilitates the obje</w:t>
      </w:r>
      <w:r>
        <w:rPr>
          <w:rFonts w:cstheme="minorHAnsi"/>
          <w:color w:val="000000" w:themeColor="text1"/>
        </w:rPr>
        <w:t>c</w:t>
      </w:r>
      <w:r w:rsidRPr="007933F6">
        <w:rPr>
          <w:rFonts w:cstheme="minorHAnsi"/>
          <w:color w:val="000000" w:themeColor="text1"/>
        </w:rPr>
        <w:t xml:space="preserve">tive for the integration of the balancing markets and </w:t>
      </w:r>
      <w:r w:rsidR="00BC64D0">
        <w:rPr>
          <w:rFonts w:cstheme="minorHAnsi"/>
          <w:color w:val="000000" w:themeColor="text1"/>
        </w:rPr>
        <w:t xml:space="preserve">for </w:t>
      </w:r>
      <w:r w:rsidRPr="007933F6">
        <w:rPr>
          <w:rFonts w:cstheme="minorHAnsi"/>
          <w:color w:val="000000" w:themeColor="text1"/>
        </w:rPr>
        <w:t xml:space="preserve">promoting the possibilities for the exchanges of balancing services while using market-based mechanisms and contributing to operational security as stated in </w:t>
      </w:r>
      <w:r w:rsidR="00735F4C">
        <w:rPr>
          <w:rFonts w:cstheme="minorHAnsi"/>
          <w:color w:val="000000" w:themeColor="text1"/>
        </w:rPr>
        <w:t>article</w:t>
      </w:r>
      <w:r w:rsidRPr="007933F6">
        <w:rPr>
          <w:rFonts w:cstheme="minorHAnsi"/>
          <w:color w:val="000000" w:themeColor="text1"/>
        </w:rPr>
        <w:t xml:space="preserve"> 3(1)(c) and </w:t>
      </w:r>
      <w:r w:rsidR="00735F4C">
        <w:rPr>
          <w:rFonts w:cstheme="minorHAnsi"/>
          <w:color w:val="000000" w:themeColor="text1"/>
        </w:rPr>
        <w:t>article</w:t>
      </w:r>
      <w:r w:rsidRPr="007933F6">
        <w:rPr>
          <w:rFonts w:cstheme="minorHAnsi"/>
          <w:color w:val="000000" w:themeColor="text1"/>
        </w:rPr>
        <w:t xml:space="preserve"> 3(2)(d) of the EBGL by means of defining the rules for the procurement of the balancing capacity, through the allocation </w:t>
      </w:r>
      <w:r w:rsidR="00BC64D0">
        <w:rPr>
          <w:rFonts w:cstheme="minorHAnsi"/>
          <w:color w:val="000000" w:themeColor="text1"/>
        </w:rPr>
        <w:t xml:space="preserve">of cross-zonal capacity </w:t>
      </w:r>
      <w:r w:rsidRPr="007933F6">
        <w:rPr>
          <w:rFonts w:cstheme="minorHAnsi"/>
          <w:color w:val="000000" w:themeColor="text1"/>
        </w:rPr>
        <w:t>for the balancing capacity market, together with the allocation of cross zonal capacity of the day ahead energy market, as detaile</w:t>
      </w:r>
      <w:r>
        <w:rPr>
          <w:rFonts w:cstheme="minorHAnsi"/>
          <w:color w:val="000000" w:themeColor="text1"/>
        </w:rPr>
        <w:t>d in articles</w:t>
      </w:r>
      <w:r w:rsidR="00BC64D0">
        <w:rPr>
          <w:rFonts w:cstheme="minorHAnsi"/>
          <w:color w:val="000000" w:themeColor="text1"/>
        </w:rPr>
        <w:t xml:space="preserve"> 5</w:t>
      </w:r>
      <w:r w:rsidR="004778B8">
        <w:rPr>
          <w:rFonts w:cstheme="minorHAnsi"/>
          <w:color w:val="000000" w:themeColor="text1"/>
        </w:rPr>
        <w:t>-10</w:t>
      </w:r>
      <w:r>
        <w:rPr>
          <w:rFonts w:cstheme="minorHAnsi"/>
          <w:color w:val="000000" w:themeColor="text1"/>
        </w:rPr>
        <w:t xml:space="preserve"> of this </w:t>
      </w:r>
      <w:r w:rsidR="00193ECF">
        <w:rPr>
          <w:rFonts w:cstheme="minorHAnsi"/>
          <w:color w:val="000000" w:themeColor="text1"/>
        </w:rPr>
        <w:t xml:space="preserve">EE CZCA </w:t>
      </w:r>
      <w:r w:rsidR="008718E9">
        <w:rPr>
          <w:rFonts w:cstheme="minorHAnsi"/>
          <w:color w:val="000000" w:themeColor="text1"/>
        </w:rPr>
        <w:t>methodology</w:t>
      </w:r>
      <w:r w:rsidRPr="007933F6">
        <w:rPr>
          <w:rFonts w:cstheme="minorHAnsi"/>
          <w:color w:val="000000" w:themeColor="text1"/>
        </w:rPr>
        <w:t>;</w:t>
      </w:r>
    </w:p>
    <w:p w14:paraId="4DB214B0" w14:textId="06071E0E" w:rsidR="00C15E86" w:rsidRPr="007933F6" w:rsidRDefault="00C15E86" w:rsidP="00647B80">
      <w:pPr>
        <w:pStyle w:val="ListParagraph"/>
        <w:numPr>
          <w:ilvl w:val="0"/>
          <w:numId w:val="40"/>
        </w:numPr>
        <w:spacing w:after="120" w:line="276" w:lineRule="auto"/>
        <w:ind w:left="714" w:hanging="357"/>
        <w:contextualSpacing w:val="0"/>
        <w:rPr>
          <w:rFonts w:cstheme="minorHAnsi"/>
          <w:color w:val="000000" w:themeColor="text1"/>
        </w:rPr>
      </w:pPr>
      <w:r>
        <w:rPr>
          <w:rFonts w:cstheme="minorHAnsi"/>
          <w:color w:val="000000" w:themeColor="text1"/>
        </w:rPr>
        <w:t xml:space="preserve">The </w:t>
      </w:r>
      <w:r w:rsidR="00193ECF">
        <w:rPr>
          <w:rFonts w:cstheme="minorHAnsi"/>
          <w:color w:val="000000" w:themeColor="text1"/>
        </w:rPr>
        <w:t xml:space="preserve">EE CZCA </w:t>
      </w:r>
      <w:r w:rsidR="008718E9">
        <w:rPr>
          <w:rFonts w:cstheme="minorHAnsi"/>
          <w:color w:val="000000" w:themeColor="text1"/>
        </w:rPr>
        <w:t>methodology</w:t>
      </w:r>
      <w:r>
        <w:rPr>
          <w:rFonts w:cstheme="minorHAnsi"/>
          <w:color w:val="000000" w:themeColor="text1"/>
        </w:rPr>
        <w:t xml:space="preserve"> </w:t>
      </w:r>
      <w:r w:rsidRPr="007933F6">
        <w:rPr>
          <w:rFonts w:cstheme="minorHAnsi"/>
          <w:color w:val="000000" w:themeColor="text1"/>
        </w:rPr>
        <w:t xml:space="preserve">ensures that the development of the day-ahead market is not compromised in accordance with </w:t>
      </w:r>
      <w:r w:rsidR="00735F4C">
        <w:rPr>
          <w:rFonts w:cstheme="minorHAnsi"/>
          <w:color w:val="000000" w:themeColor="text1"/>
        </w:rPr>
        <w:t>article</w:t>
      </w:r>
      <w:r w:rsidRPr="007933F6">
        <w:rPr>
          <w:rFonts w:cstheme="minorHAnsi"/>
          <w:color w:val="000000" w:themeColor="text1"/>
        </w:rPr>
        <w:t xml:space="preserve"> 3(2)(e) of the EBGL</w:t>
      </w:r>
      <w:r w:rsidR="00F74B17">
        <w:rPr>
          <w:rFonts w:cstheme="minorHAnsi"/>
          <w:color w:val="000000" w:themeColor="text1"/>
        </w:rPr>
        <w:t>.</w:t>
      </w:r>
      <w:r w:rsidRPr="007933F6">
        <w:rPr>
          <w:rFonts w:cstheme="minorHAnsi"/>
          <w:color w:val="000000" w:themeColor="text1"/>
        </w:rPr>
        <w:t xml:space="preserve"> </w:t>
      </w:r>
      <w:r w:rsidR="00F74B17">
        <w:rPr>
          <w:rFonts w:cstheme="minorHAnsi"/>
          <w:color w:val="000000" w:themeColor="text1"/>
        </w:rPr>
        <w:t>I</w:t>
      </w:r>
      <w:r w:rsidRPr="007933F6">
        <w:rPr>
          <w:rFonts w:cstheme="minorHAnsi"/>
          <w:color w:val="000000" w:themeColor="text1"/>
        </w:rPr>
        <w:t xml:space="preserve">t is specified in </w:t>
      </w:r>
      <w:r w:rsidR="00F74B17">
        <w:rPr>
          <w:rFonts w:cstheme="minorHAnsi"/>
          <w:color w:val="000000" w:themeColor="text1"/>
        </w:rPr>
        <w:t xml:space="preserve">Articles </w:t>
      </w:r>
      <w:r w:rsidR="004778B8">
        <w:rPr>
          <w:rFonts w:cstheme="minorHAnsi"/>
          <w:color w:val="000000" w:themeColor="text1"/>
        </w:rPr>
        <w:t xml:space="preserve">3 </w:t>
      </w:r>
      <w:r>
        <w:rPr>
          <w:rFonts w:cstheme="minorHAnsi"/>
          <w:color w:val="000000" w:themeColor="text1"/>
        </w:rPr>
        <w:t xml:space="preserve">and </w:t>
      </w:r>
      <w:r w:rsidR="004778B8">
        <w:rPr>
          <w:rFonts w:cstheme="minorHAnsi"/>
          <w:color w:val="000000" w:themeColor="text1"/>
        </w:rPr>
        <w:t xml:space="preserve">12 </w:t>
      </w:r>
      <w:r>
        <w:rPr>
          <w:rFonts w:cstheme="minorHAnsi"/>
          <w:color w:val="000000" w:themeColor="text1"/>
        </w:rPr>
        <w:t xml:space="preserve">of this </w:t>
      </w:r>
      <w:r w:rsidR="00193ECF">
        <w:rPr>
          <w:rFonts w:cstheme="minorHAnsi"/>
          <w:color w:val="000000" w:themeColor="text1"/>
        </w:rPr>
        <w:t xml:space="preserve">EE CZCA </w:t>
      </w:r>
      <w:r w:rsidR="008718E9">
        <w:rPr>
          <w:rFonts w:cstheme="minorHAnsi"/>
          <w:color w:val="000000" w:themeColor="text1"/>
        </w:rPr>
        <w:t>methodology</w:t>
      </w:r>
      <w:r w:rsidRPr="007933F6">
        <w:rPr>
          <w:rFonts w:cstheme="minorHAnsi"/>
          <w:color w:val="000000" w:themeColor="text1"/>
        </w:rPr>
        <w:t xml:space="preserve">, </w:t>
      </w:r>
      <w:r w:rsidR="00F74B17">
        <w:rPr>
          <w:rFonts w:cstheme="minorHAnsi"/>
          <w:color w:val="000000" w:themeColor="text1"/>
        </w:rPr>
        <w:t xml:space="preserve">that not used </w:t>
      </w:r>
      <w:r>
        <w:rPr>
          <w:rFonts w:cstheme="minorHAnsi"/>
          <w:color w:val="000000" w:themeColor="text1"/>
        </w:rPr>
        <w:t xml:space="preserve">CZC allocated to the exchange of balancing </w:t>
      </w:r>
      <w:r w:rsidRPr="007933F6">
        <w:rPr>
          <w:rFonts w:cstheme="minorHAnsi"/>
          <w:color w:val="000000" w:themeColor="text1"/>
        </w:rPr>
        <w:t xml:space="preserve">capacity or sharing of reserves shall be released for the exchange of balancing energy </w:t>
      </w:r>
      <w:r w:rsidR="004778B8">
        <w:rPr>
          <w:rFonts w:cstheme="minorHAnsi"/>
          <w:color w:val="000000" w:themeColor="text1"/>
        </w:rPr>
        <w:t xml:space="preserve">with shorter activation times or for operating the imbalance netting process according to </w:t>
      </w:r>
      <w:r w:rsidR="00735F4C">
        <w:rPr>
          <w:rFonts w:cstheme="minorHAnsi"/>
          <w:color w:val="000000" w:themeColor="text1"/>
        </w:rPr>
        <w:t>article</w:t>
      </w:r>
      <w:r w:rsidR="004778B8">
        <w:rPr>
          <w:rFonts w:cstheme="minorHAnsi"/>
          <w:color w:val="000000" w:themeColor="text1"/>
        </w:rPr>
        <w:t xml:space="preserve"> 38(9) of the EBGL</w:t>
      </w:r>
      <w:r w:rsidRPr="007933F6">
        <w:rPr>
          <w:rFonts w:cstheme="minorHAnsi"/>
          <w:color w:val="000000" w:themeColor="text1"/>
        </w:rPr>
        <w:t>;</w:t>
      </w:r>
    </w:p>
    <w:p w14:paraId="43D071A3" w14:textId="35C7CEA2" w:rsidR="00C15E86" w:rsidRPr="007933F6" w:rsidRDefault="007F4736" w:rsidP="00647B80">
      <w:pPr>
        <w:pStyle w:val="ListParagraph"/>
        <w:numPr>
          <w:ilvl w:val="0"/>
          <w:numId w:val="40"/>
        </w:numPr>
        <w:spacing w:after="120" w:line="276" w:lineRule="auto"/>
        <w:ind w:left="714" w:hanging="357"/>
        <w:contextualSpacing w:val="0"/>
        <w:rPr>
          <w:rFonts w:cstheme="minorHAnsi"/>
          <w:color w:val="000000" w:themeColor="text1"/>
        </w:rPr>
      </w:pPr>
      <w:r>
        <w:rPr>
          <w:rFonts w:cstheme="minorHAnsi"/>
          <w:color w:val="000000" w:themeColor="text1"/>
        </w:rPr>
        <w:t xml:space="preserve">The </w:t>
      </w:r>
      <w:r w:rsidR="00193ECF">
        <w:rPr>
          <w:rFonts w:cstheme="minorHAnsi"/>
          <w:color w:val="000000" w:themeColor="text1"/>
        </w:rPr>
        <w:t xml:space="preserve">EE CZCA </w:t>
      </w:r>
      <w:r w:rsidR="008718E9">
        <w:rPr>
          <w:rFonts w:cstheme="minorHAnsi"/>
          <w:color w:val="000000" w:themeColor="text1"/>
        </w:rPr>
        <w:t>methodology</w:t>
      </w:r>
      <w:r w:rsidR="00C15E86" w:rsidRPr="007933F6">
        <w:rPr>
          <w:rFonts w:cstheme="minorHAnsi"/>
          <w:color w:val="000000" w:themeColor="text1"/>
        </w:rPr>
        <w:t xml:space="preserve"> ensures that the procurement of balancing </w:t>
      </w:r>
      <w:r w:rsidR="004778B8">
        <w:rPr>
          <w:rFonts w:cstheme="minorHAnsi"/>
          <w:color w:val="000000" w:themeColor="text1"/>
        </w:rPr>
        <w:t>capacity</w:t>
      </w:r>
      <w:r w:rsidR="004778B8" w:rsidRPr="007933F6">
        <w:rPr>
          <w:rFonts w:cstheme="minorHAnsi"/>
          <w:color w:val="000000" w:themeColor="text1"/>
        </w:rPr>
        <w:t xml:space="preserve"> </w:t>
      </w:r>
      <w:r w:rsidR="00C15E86" w:rsidRPr="007933F6">
        <w:rPr>
          <w:rFonts w:cstheme="minorHAnsi"/>
          <w:color w:val="000000" w:themeColor="text1"/>
        </w:rPr>
        <w:t xml:space="preserve">is done in a fair, objective, transparent </w:t>
      </w:r>
      <w:r w:rsidR="00C15E86">
        <w:rPr>
          <w:rFonts w:cstheme="minorHAnsi"/>
          <w:color w:val="000000" w:themeColor="text1"/>
        </w:rPr>
        <w:t xml:space="preserve">way </w:t>
      </w:r>
      <w:r w:rsidR="00C15E86" w:rsidRPr="007933F6">
        <w:rPr>
          <w:rFonts w:cstheme="minorHAnsi"/>
          <w:color w:val="000000" w:themeColor="text1"/>
        </w:rPr>
        <w:t xml:space="preserve">and uses the market-based mechanisms as stated in </w:t>
      </w:r>
      <w:r w:rsidR="00735F4C">
        <w:rPr>
          <w:rFonts w:cstheme="minorHAnsi"/>
          <w:color w:val="000000" w:themeColor="text1"/>
        </w:rPr>
        <w:t>article</w:t>
      </w:r>
      <w:r>
        <w:rPr>
          <w:rFonts w:cstheme="minorHAnsi"/>
          <w:color w:val="000000" w:themeColor="text1"/>
        </w:rPr>
        <w:t xml:space="preserve"> 3(1)(e) of the EBGL. This </w:t>
      </w:r>
      <w:r w:rsidR="00193ECF">
        <w:rPr>
          <w:rFonts w:cstheme="minorHAnsi"/>
          <w:color w:val="000000" w:themeColor="text1"/>
        </w:rPr>
        <w:t xml:space="preserve">EE CZCA </w:t>
      </w:r>
      <w:r w:rsidR="008718E9">
        <w:rPr>
          <w:rFonts w:cstheme="minorHAnsi"/>
          <w:color w:val="000000" w:themeColor="text1"/>
        </w:rPr>
        <w:t>methodology</w:t>
      </w:r>
      <w:r w:rsidR="00C15E86" w:rsidRPr="007933F6">
        <w:rPr>
          <w:rFonts w:cstheme="minorHAnsi"/>
          <w:color w:val="000000" w:themeColor="text1"/>
        </w:rPr>
        <w:t xml:space="preserve"> </w:t>
      </w:r>
      <w:r w:rsidR="006536F8">
        <w:rPr>
          <w:rFonts w:cstheme="minorHAnsi"/>
          <w:color w:val="000000" w:themeColor="text1"/>
        </w:rPr>
        <w:t>states</w:t>
      </w:r>
      <w:r w:rsidR="00C15E86" w:rsidRPr="007933F6">
        <w:rPr>
          <w:rFonts w:cstheme="minorHAnsi"/>
          <w:color w:val="000000" w:themeColor="text1"/>
        </w:rPr>
        <w:t xml:space="preserve"> in articles </w:t>
      </w:r>
      <w:r w:rsidR="004778B8">
        <w:rPr>
          <w:rFonts w:cstheme="minorHAnsi"/>
          <w:color w:val="000000" w:themeColor="text1"/>
        </w:rPr>
        <w:t xml:space="preserve">8-10 </w:t>
      </w:r>
      <w:r w:rsidR="00C15E86" w:rsidRPr="007933F6">
        <w:rPr>
          <w:rFonts w:cstheme="minorHAnsi"/>
          <w:color w:val="000000" w:themeColor="text1"/>
        </w:rPr>
        <w:t>how the market value and volume as well as the offered volumes and prices</w:t>
      </w:r>
      <w:r w:rsidR="00C15E86">
        <w:rPr>
          <w:rFonts w:cstheme="minorHAnsi"/>
          <w:color w:val="000000" w:themeColor="text1"/>
        </w:rPr>
        <w:t xml:space="preserve"> are determined</w:t>
      </w:r>
      <w:r w:rsidR="00C15E86" w:rsidRPr="007933F6">
        <w:rPr>
          <w:rFonts w:cstheme="minorHAnsi"/>
          <w:color w:val="000000" w:themeColor="text1"/>
        </w:rPr>
        <w:t>;</w:t>
      </w:r>
    </w:p>
    <w:p w14:paraId="2EA461EB" w14:textId="0DE164DD" w:rsidR="00C15E86" w:rsidRPr="007933F6" w:rsidRDefault="007F4736" w:rsidP="00647B80">
      <w:pPr>
        <w:pStyle w:val="ListParagraph"/>
        <w:numPr>
          <w:ilvl w:val="0"/>
          <w:numId w:val="40"/>
        </w:numPr>
        <w:spacing w:after="120" w:line="276" w:lineRule="auto"/>
        <w:ind w:left="714" w:hanging="357"/>
        <w:contextualSpacing w:val="0"/>
        <w:rPr>
          <w:rFonts w:cstheme="minorHAnsi"/>
          <w:color w:val="000000" w:themeColor="text1"/>
        </w:rPr>
      </w:pPr>
      <w:r>
        <w:rPr>
          <w:rFonts w:cstheme="minorHAnsi"/>
          <w:color w:val="000000" w:themeColor="text1"/>
        </w:rPr>
        <w:t xml:space="preserve">The </w:t>
      </w:r>
      <w:r w:rsidR="00193ECF">
        <w:rPr>
          <w:rFonts w:cstheme="minorHAnsi"/>
          <w:color w:val="000000" w:themeColor="text1"/>
        </w:rPr>
        <w:t xml:space="preserve">EE CZCA </w:t>
      </w:r>
      <w:r w:rsidR="008718E9">
        <w:rPr>
          <w:rFonts w:cstheme="minorHAnsi"/>
          <w:color w:val="000000" w:themeColor="text1"/>
        </w:rPr>
        <w:t>methodology</w:t>
      </w:r>
      <w:r w:rsidR="00C15E86" w:rsidRPr="007933F6">
        <w:rPr>
          <w:rFonts w:cstheme="minorHAnsi"/>
          <w:color w:val="000000" w:themeColor="text1"/>
        </w:rPr>
        <w:t xml:space="preserve"> aims at respecting the responsibility assigned to the relevant TSO</w:t>
      </w:r>
      <w:r w:rsidR="00C15E86">
        <w:rPr>
          <w:rFonts w:cstheme="minorHAnsi"/>
          <w:color w:val="000000" w:themeColor="text1"/>
        </w:rPr>
        <w:t>s</w:t>
      </w:r>
      <w:r w:rsidR="00C15E86" w:rsidRPr="007933F6">
        <w:rPr>
          <w:rFonts w:cstheme="minorHAnsi"/>
          <w:color w:val="000000" w:themeColor="text1"/>
        </w:rPr>
        <w:t xml:space="preserve"> in order to ensure system security, including as required by national legislation in accordance with </w:t>
      </w:r>
      <w:r w:rsidR="00735F4C">
        <w:rPr>
          <w:rFonts w:cstheme="minorHAnsi"/>
          <w:color w:val="000000" w:themeColor="text1"/>
        </w:rPr>
        <w:t>article</w:t>
      </w:r>
      <w:r w:rsidR="00C15E86" w:rsidRPr="007933F6">
        <w:rPr>
          <w:rFonts w:cstheme="minorHAnsi"/>
          <w:color w:val="000000" w:themeColor="text1"/>
        </w:rPr>
        <w:t xml:space="preserve"> 3(2)(f) of the EBGL by establishing the maximum limitations to be applied by the </w:t>
      </w:r>
      <w:r w:rsidR="00EC34F9">
        <w:rPr>
          <w:rFonts w:cstheme="minorHAnsi"/>
          <w:color w:val="000000" w:themeColor="text1"/>
        </w:rPr>
        <w:t>BCC</w:t>
      </w:r>
      <w:r w:rsidR="00C15E86" w:rsidRPr="007933F6">
        <w:rPr>
          <w:rFonts w:cstheme="minorHAnsi"/>
          <w:color w:val="000000" w:themeColor="text1"/>
        </w:rPr>
        <w:t xml:space="preserve"> as is</w:t>
      </w:r>
      <w:r>
        <w:rPr>
          <w:rFonts w:cstheme="minorHAnsi"/>
          <w:color w:val="000000" w:themeColor="text1"/>
        </w:rPr>
        <w:t xml:space="preserve"> defined in article</w:t>
      </w:r>
      <w:r w:rsidR="006536F8">
        <w:rPr>
          <w:rFonts w:cstheme="minorHAnsi"/>
          <w:color w:val="000000" w:themeColor="text1"/>
        </w:rPr>
        <w:t>s</w:t>
      </w:r>
      <w:r>
        <w:rPr>
          <w:rFonts w:cstheme="minorHAnsi"/>
          <w:color w:val="000000" w:themeColor="text1"/>
        </w:rPr>
        <w:t xml:space="preserve"> </w:t>
      </w:r>
      <w:r w:rsidR="004778B8">
        <w:rPr>
          <w:rFonts w:cstheme="minorHAnsi"/>
          <w:color w:val="000000" w:themeColor="text1"/>
        </w:rPr>
        <w:t xml:space="preserve">7 </w:t>
      </w:r>
      <w:r>
        <w:rPr>
          <w:rFonts w:cstheme="minorHAnsi"/>
          <w:color w:val="000000" w:themeColor="text1"/>
        </w:rPr>
        <w:t xml:space="preserve">of this </w:t>
      </w:r>
      <w:r w:rsidR="00193ECF">
        <w:rPr>
          <w:rFonts w:cstheme="minorHAnsi"/>
          <w:color w:val="000000" w:themeColor="text1"/>
        </w:rPr>
        <w:t xml:space="preserve">EE CZCA </w:t>
      </w:r>
      <w:r w:rsidR="008718E9">
        <w:rPr>
          <w:rFonts w:cstheme="minorHAnsi"/>
          <w:color w:val="000000" w:themeColor="text1"/>
        </w:rPr>
        <w:t>methodology</w:t>
      </w:r>
      <w:r w:rsidR="00C15E86" w:rsidRPr="007933F6">
        <w:rPr>
          <w:rFonts w:cstheme="minorHAnsi"/>
          <w:color w:val="000000" w:themeColor="text1"/>
        </w:rPr>
        <w:t>;</w:t>
      </w:r>
    </w:p>
    <w:p w14:paraId="0D25A345" w14:textId="18137B45" w:rsidR="008718E9" w:rsidRPr="007933F6" w:rsidRDefault="008718E9" w:rsidP="00647B80">
      <w:pPr>
        <w:pStyle w:val="ListParagraph"/>
        <w:numPr>
          <w:ilvl w:val="0"/>
          <w:numId w:val="40"/>
        </w:numPr>
        <w:spacing w:after="120" w:line="276" w:lineRule="auto"/>
        <w:ind w:left="714" w:hanging="357"/>
        <w:contextualSpacing w:val="0"/>
      </w:pPr>
      <w:r>
        <w:rPr>
          <w:rFonts w:cstheme="minorHAnsi"/>
          <w:color w:val="000000" w:themeColor="text1"/>
        </w:rPr>
        <w:t>This EE CZCA methodology may be applied before the go-live of DA FB MC in Core and before the go-live of the balancing energy platforms (TERRE, MARI and PICASSO).</w:t>
      </w:r>
    </w:p>
    <w:p w14:paraId="743D67A3" w14:textId="72567E7D" w:rsidR="00C15E86" w:rsidRPr="001B3A7B" w:rsidRDefault="00C15E86" w:rsidP="00647B80">
      <w:pPr>
        <w:pStyle w:val="ListParagraph"/>
        <w:numPr>
          <w:ilvl w:val="0"/>
          <w:numId w:val="40"/>
        </w:numPr>
        <w:spacing w:after="120" w:line="276" w:lineRule="auto"/>
        <w:ind w:left="714" w:hanging="357"/>
        <w:contextualSpacing w:val="0"/>
        <w:rPr>
          <w:rFonts w:cstheme="minorHAnsi"/>
          <w:color w:val="000000" w:themeColor="text1"/>
        </w:rPr>
      </w:pPr>
      <w:r>
        <w:rPr>
          <w:rFonts w:cstheme="minorHAnsi"/>
          <w:color w:val="000000" w:themeColor="text1"/>
        </w:rPr>
        <w:t>In conclusi</w:t>
      </w:r>
      <w:r w:rsidR="007F4736">
        <w:rPr>
          <w:rFonts w:cstheme="minorHAnsi"/>
          <w:color w:val="000000" w:themeColor="text1"/>
        </w:rPr>
        <w:t xml:space="preserve">on, the </w:t>
      </w:r>
      <w:r w:rsidR="00193ECF">
        <w:rPr>
          <w:rFonts w:cstheme="minorHAnsi"/>
          <w:color w:val="000000" w:themeColor="text1"/>
        </w:rPr>
        <w:t xml:space="preserve">EE CZCA </w:t>
      </w:r>
      <w:r w:rsidR="008718E9">
        <w:rPr>
          <w:rFonts w:cstheme="minorHAnsi"/>
          <w:color w:val="000000" w:themeColor="text1"/>
        </w:rPr>
        <w:t>methodology</w:t>
      </w:r>
      <w:r>
        <w:rPr>
          <w:rFonts w:cstheme="minorHAnsi"/>
          <w:color w:val="000000" w:themeColor="text1"/>
        </w:rPr>
        <w:t xml:space="preserve"> meets the objectives of the EBGL.</w:t>
      </w:r>
    </w:p>
    <w:p w14:paraId="68B14952" w14:textId="77777777" w:rsidR="008A74B3" w:rsidRDefault="008A74B3" w:rsidP="00647B80">
      <w:pPr>
        <w:spacing w:after="120" w:line="276" w:lineRule="auto"/>
        <w:rPr>
          <w:rFonts w:ascii="Times New Roman" w:hAnsi="Times New Roman" w:cstheme="majorHAnsi"/>
          <w:b/>
          <w:color w:val="23236E" w:themeColor="text2"/>
          <w:sz w:val="24"/>
          <w:szCs w:val="28"/>
        </w:rPr>
      </w:pPr>
      <w:r>
        <w:br w:type="page"/>
      </w:r>
    </w:p>
    <w:p w14:paraId="78FF87A1" w14:textId="6CE6AE15" w:rsidR="008A74B3" w:rsidRPr="00734A7C" w:rsidRDefault="008A74B3" w:rsidP="00F45213">
      <w:pPr>
        <w:pStyle w:val="headline1"/>
        <w:numPr>
          <w:ilvl w:val="0"/>
          <w:numId w:val="0"/>
        </w:numPr>
      </w:pPr>
      <w:bookmarkStart w:id="5" w:name="_Toc19192524"/>
      <w:r w:rsidRPr="00734A7C">
        <w:t>Abbreviations</w:t>
      </w:r>
      <w:bookmarkEnd w:id="5"/>
    </w:p>
    <w:p w14:paraId="7E032CBC" w14:textId="7B3F6596" w:rsidR="008A74B3" w:rsidRDefault="008A74B3" w:rsidP="00647B80">
      <w:pPr>
        <w:spacing w:after="120" w:line="276" w:lineRule="auto"/>
        <w:rPr>
          <w:rFonts w:cstheme="minorHAnsi"/>
        </w:rPr>
      </w:pPr>
      <w:bookmarkStart w:id="6" w:name="_Toc521595391"/>
      <w:r w:rsidRPr="00082877">
        <w:rPr>
          <w:rFonts w:cstheme="minorHAnsi"/>
        </w:rPr>
        <w:t>The list of ab</w:t>
      </w:r>
      <w:r>
        <w:rPr>
          <w:rFonts w:cstheme="minorHAnsi"/>
        </w:rPr>
        <w:t xml:space="preserve">breviations used in this </w:t>
      </w:r>
      <w:r w:rsidR="00193ECF">
        <w:rPr>
          <w:rFonts w:cstheme="minorHAnsi"/>
        </w:rPr>
        <w:t xml:space="preserve">EE CZCA </w:t>
      </w:r>
      <w:r w:rsidR="008718E9">
        <w:rPr>
          <w:rFonts w:cstheme="minorHAnsi"/>
        </w:rPr>
        <w:t>methodology</w:t>
      </w:r>
      <w:r w:rsidRPr="00082877">
        <w:rPr>
          <w:rFonts w:cstheme="minorHAnsi"/>
        </w:rPr>
        <w:t xml:space="preserve"> is</w:t>
      </w:r>
      <w:r w:rsidR="006536F8">
        <w:rPr>
          <w:rFonts w:cstheme="minorHAnsi"/>
        </w:rPr>
        <w:t xml:space="preserve"> the</w:t>
      </w:r>
      <w:r w:rsidRPr="00082877">
        <w:rPr>
          <w:rFonts w:cstheme="minorHAnsi"/>
        </w:rPr>
        <w:t xml:space="preserve"> following:</w:t>
      </w:r>
      <w:bookmarkEnd w:id="6"/>
    </w:p>
    <w:p w14:paraId="5AD8353C" w14:textId="77777777" w:rsidR="008A74B3" w:rsidRDefault="008A74B3" w:rsidP="00647B80">
      <w:pPr>
        <w:spacing w:after="120" w:line="276" w:lineRule="auto"/>
        <w:rPr>
          <w:rFonts w:cstheme="minorHAnsi"/>
        </w:rPr>
      </w:pPr>
    </w:p>
    <w:p w14:paraId="337F3243" w14:textId="77777777" w:rsidR="008A74B3" w:rsidRPr="00A669EB" w:rsidRDefault="008A74B3" w:rsidP="00647B80">
      <w:pPr>
        <w:pStyle w:val="ListParagraph"/>
        <w:numPr>
          <w:ilvl w:val="0"/>
          <w:numId w:val="27"/>
        </w:numPr>
        <w:spacing w:after="120" w:line="276" w:lineRule="auto"/>
        <w:contextualSpacing w:val="0"/>
        <w:rPr>
          <w:rFonts w:cstheme="minorHAnsi"/>
          <w:lang w:val="en-GB"/>
        </w:rPr>
      </w:pPr>
      <w:bookmarkStart w:id="7" w:name="_Toc521595394"/>
      <w:r>
        <w:rPr>
          <w:rFonts w:cstheme="minorHAnsi"/>
          <w:lang w:val="en-GB"/>
        </w:rPr>
        <w:t xml:space="preserve">aFRR: </w:t>
      </w:r>
      <w:r>
        <w:rPr>
          <w:rFonts w:cstheme="minorHAnsi"/>
          <w:lang w:val="en-US"/>
        </w:rPr>
        <w:t>frequency restoration reserve with automatic activation</w:t>
      </w:r>
    </w:p>
    <w:p w14:paraId="5D60EB9D" w14:textId="2D127211" w:rsidR="00F74B17" w:rsidRDefault="00F74B17" w:rsidP="00647B80">
      <w:pPr>
        <w:pStyle w:val="ListParagraph"/>
        <w:numPr>
          <w:ilvl w:val="0"/>
          <w:numId w:val="27"/>
        </w:numPr>
        <w:spacing w:after="120" w:line="276" w:lineRule="auto"/>
        <w:contextualSpacing w:val="0"/>
        <w:rPr>
          <w:rFonts w:cstheme="minorHAnsi"/>
          <w:lang w:val="en-GB"/>
        </w:rPr>
      </w:pPr>
      <w:r>
        <w:rPr>
          <w:rFonts w:cstheme="minorHAnsi"/>
          <w:lang w:val="en-GB"/>
        </w:rPr>
        <w:t>BCC: balancing capacity cooperation</w:t>
      </w:r>
    </w:p>
    <w:p w14:paraId="6650411C" w14:textId="0A363A22" w:rsidR="00CB6A98" w:rsidRDefault="00CB6A98" w:rsidP="00647B80">
      <w:pPr>
        <w:pStyle w:val="ListParagraph"/>
        <w:numPr>
          <w:ilvl w:val="0"/>
          <w:numId w:val="27"/>
        </w:numPr>
        <w:spacing w:after="120" w:line="276" w:lineRule="auto"/>
        <w:contextualSpacing w:val="0"/>
        <w:rPr>
          <w:rFonts w:cstheme="minorHAnsi"/>
          <w:lang w:val="en-GB"/>
        </w:rPr>
      </w:pPr>
      <w:r>
        <w:rPr>
          <w:rFonts w:cstheme="minorHAnsi"/>
          <w:lang w:val="en-GB"/>
        </w:rPr>
        <w:t xml:space="preserve">BSP: </w:t>
      </w:r>
      <w:r w:rsidRPr="00BD4BFC">
        <w:rPr>
          <w:rFonts w:cstheme="minorHAnsi"/>
          <w:lang w:val="en-GB"/>
        </w:rPr>
        <w:t>balancing service provider</w:t>
      </w:r>
    </w:p>
    <w:p w14:paraId="0047B022" w14:textId="4A292626" w:rsidR="00B178F3" w:rsidRDefault="008718E9" w:rsidP="00647B80">
      <w:pPr>
        <w:pStyle w:val="ListParagraph"/>
        <w:numPr>
          <w:ilvl w:val="0"/>
          <w:numId w:val="27"/>
        </w:numPr>
        <w:spacing w:after="120" w:line="276" w:lineRule="auto"/>
        <w:contextualSpacing w:val="0"/>
        <w:rPr>
          <w:rFonts w:cstheme="minorHAnsi"/>
          <w:lang w:val="en-GB"/>
        </w:rPr>
      </w:pPr>
      <w:r>
        <w:rPr>
          <w:rFonts w:cstheme="minorHAnsi"/>
          <w:lang w:val="en-GB"/>
        </w:rPr>
        <w:t>CACMGL</w:t>
      </w:r>
      <w:r w:rsidR="00B178F3">
        <w:rPr>
          <w:rFonts w:cstheme="minorHAnsi"/>
          <w:lang w:val="en-GB"/>
        </w:rPr>
        <w:t>: Commission Regulation</w:t>
      </w:r>
      <w:r w:rsidR="00B178F3" w:rsidRPr="006E1C46">
        <w:rPr>
          <w:rFonts w:cstheme="minorHAnsi"/>
          <w:lang w:val="en-GB"/>
        </w:rPr>
        <w:t xml:space="preserve"> (EU) 1222/2015</w:t>
      </w:r>
      <w:r w:rsidR="00B178F3">
        <w:rPr>
          <w:rFonts w:cstheme="minorHAnsi"/>
          <w:lang w:val="en-GB"/>
        </w:rPr>
        <w:t xml:space="preserve"> </w:t>
      </w:r>
      <w:r w:rsidR="00B178F3" w:rsidRPr="006E1C46">
        <w:rPr>
          <w:rFonts w:cstheme="minorHAnsi"/>
        </w:rPr>
        <w:t>establishing a guideline on capacity allocation and congestion management</w:t>
      </w:r>
    </w:p>
    <w:p w14:paraId="3A8A99BA" w14:textId="6A68E6BB" w:rsidR="008A74B3" w:rsidRDefault="008A74B3" w:rsidP="00647B80">
      <w:pPr>
        <w:pStyle w:val="ListParagraph"/>
        <w:numPr>
          <w:ilvl w:val="0"/>
          <w:numId w:val="27"/>
        </w:numPr>
        <w:spacing w:after="120" w:line="276" w:lineRule="auto"/>
        <w:contextualSpacing w:val="0"/>
        <w:rPr>
          <w:rFonts w:cstheme="minorHAnsi"/>
          <w:lang w:val="en-GB"/>
        </w:rPr>
      </w:pPr>
      <w:r>
        <w:rPr>
          <w:rFonts w:cstheme="minorHAnsi"/>
          <w:lang w:val="en-GB"/>
        </w:rPr>
        <w:t xml:space="preserve">CMOL: </w:t>
      </w:r>
      <w:r w:rsidR="006536F8">
        <w:rPr>
          <w:rFonts w:cstheme="minorHAnsi"/>
          <w:lang w:val="en-GB"/>
        </w:rPr>
        <w:t>c</w:t>
      </w:r>
      <w:r>
        <w:rPr>
          <w:rFonts w:cstheme="minorHAnsi"/>
          <w:lang w:val="en-GB"/>
        </w:rPr>
        <w:t>ommon merit order list</w:t>
      </w:r>
    </w:p>
    <w:p w14:paraId="74478DC6" w14:textId="27A966FC" w:rsidR="008A74B3" w:rsidRDefault="008A74B3" w:rsidP="00647B80">
      <w:pPr>
        <w:pStyle w:val="ListParagraph"/>
        <w:numPr>
          <w:ilvl w:val="0"/>
          <w:numId w:val="27"/>
        </w:numPr>
        <w:spacing w:after="120" w:line="276" w:lineRule="auto"/>
        <w:contextualSpacing w:val="0"/>
        <w:rPr>
          <w:rFonts w:cstheme="minorHAnsi"/>
          <w:lang w:val="en-GB"/>
        </w:rPr>
      </w:pPr>
      <w:r>
        <w:rPr>
          <w:rFonts w:cstheme="minorHAnsi"/>
          <w:lang w:val="en-GB"/>
        </w:rPr>
        <w:t xml:space="preserve">CZC: </w:t>
      </w:r>
      <w:r w:rsidR="00F74B17">
        <w:rPr>
          <w:rFonts w:cstheme="minorHAnsi"/>
          <w:lang w:val="en-GB"/>
        </w:rPr>
        <w:t>cross-</w:t>
      </w:r>
      <w:r w:rsidR="00EF4E88">
        <w:rPr>
          <w:rFonts w:cstheme="minorHAnsi"/>
          <w:lang w:val="en-GB"/>
        </w:rPr>
        <w:t>zonal</w:t>
      </w:r>
      <w:r>
        <w:rPr>
          <w:rFonts w:cstheme="minorHAnsi"/>
          <w:lang w:val="en-GB"/>
        </w:rPr>
        <w:t xml:space="preserve"> capacity</w:t>
      </w:r>
    </w:p>
    <w:p w14:paraId="7816C8CE" w14:textId="28E08998" w:rsidR="008A74B3" w:rsidRDefault="008A74B3" w:rsidP="00647B80">
      <w:pPr>
        <w:pStyle w:val="ListParagraph"/>
        <w:numPr>
          <w:ilvl w:val="0"/>
          <w:numId w:val="27"/>
        </w:numPr>
        <w:spacing w:after="120" w:line="276" w:lineRule="auto"/>
        <w:contextualSpacing w:val="0"/>
        <w:rPr>
          <w:rFonts w:cstheme="minorHAnsi"/>
          <w:lang w:val="en-GB"/>
        </w:rPr>
      </w:pPr>
      <w:r w:rsidRPr="00B34B3C">
        <w:rPr>
          <w:rFonts w:cstheme="minorHAnsi"/>
          <w:lang w:val="en-GB"/>
        </w:rPr>
        <w:t xml:space="preserve">CZCA: </w:t>
      </w:r>
      <w:r w:rsidR="00F74B17">
        <w:rPr>
          <w:rFonts w:cstheme="minorHAnsi"/>
          <w:lang w:val="en-GB"/>
        </w:rPr>
        <w:t>cross-</w:t>
      </w:r>
      <w:r w:rsidR="00EF4E88">
        <w:rPr>
          <w:rFonts w:cstheme="minorHAnsi"/>
          <w:lang w:val="en-GB"/>
        </w:rPr>
        <w:t>zonal</w:t>
      </w:r>
      <w:r w:rsidRPr="00B34B3C">
        <w:rPr>
          <w:rFonts w:cstheme="minorHAnsi"/>
          <w:lang w:val="en-GB"/>
        </w:rPr>
        <w:t xml:space="preserve"> capacity allocat</w:t>
      </w:r>
      <w:r>
        <w:rPr>
          <w:rFonts w:cstheme="minorHAnsi"/>
          <w:lang w:val="en-GB"/>
        </w:rPr>
        <w:t>ion</w:t>
      </w:r>
    </w:p>
    <w:p w14:paraId="1D228BFC" w14:textId="77777777" w:rsidR="008A74B3" w:rsidRDefault="008A74B3" w:rsidP="00647B80">
      <w:pPr>
        <w:pStyle w:val="ListParagraph"/>
        <w:numPr>
          <w:ilvl w:val="0"/>
          <w:numId w:val="27"/>
        </w:numPr>
        <w:spacing w:after="120" w:line="276" w:lineRule="auto"/>
        <w:contextualSpacing w:val="0"/>
        <w:rPr>
          <w:rFonts w:cstheme="minorHAnsi"/>
          <w:lang w:val="en-GB"/>
        </w:rPr>
      </w:pPr>
      <w:r>
        <w:rPr>
          <w:rFonts w:cstheme="minorHAnsi"/>
          <w:lang w:val="en-GB"/>
        </w:rPr>
        <w:t>DC: direct current</w:t>
      </w:r>
    </w:p>
    <w:p w14:paraId="47A507A7" w14:textId="0FB53693" w:rsidR="00CB6A98" w:rsidRDefault="00CB6A98" w:rsidP="00647B80">
      <w:pPr>
        <w:pStyle w:val="ListParagraph"/>
        <w:numPr>
          <w:ilvl w:val="0"/>
          <w:numId w:val="27"/>
        </w:numPr>
        <w:spacing w:after="120" w:line="276" w:lineRule="auto"/>
        <w:contextualSpacing w:val="0"/>
        <w:rPr>
          <w:rFonts w:cstheme="minorHAnsi"/>
          <w:lang w:val="en-US"/>
        </w:rPr>
      </w:pPr>
      <w:r w:rsidRPr="00082877">
        <w:rPr>
          <w:rFonts w:cstheme="minorHAnsi"/>
          <w:lang w:val="en-US"/>
        </w:rPr>
        <w:t>EBGL: guideline on electricity balancing</w:t>
      </w:r>
    </w:p>
    <w:p w14:paraId="35FB6E4F" w14:textId="06141FDE" w:rsidR="004065F7" w:rsidRDefault="004065F7" w:rsidP="00647B80">
      <w:pPr>
        <w:pStyle w:val="ListParagraph"/>
        <w:numPr>
          <w:ilvl w:val="0"/>
          <w:numId w:val="27"/>
        </w:numPr>
        <w:spacing w:after="120" w:line="276" w:lineRule="auto"/>
        <w:contextualSpacing w:val="0"/>
        <w:rPr>
          <w:rFonts w:cstheme="minorHAnsi"/>
          <w:lang w:val="en-US"/>
        </w:rPr>
      </w:pPr>
      <w:r>
        <w:rPr>
          <w:rFonts w:cstheme="minorHAnsi"/>
          <w:lang w:val="en-US"/>
        </w:rPr>
        <w:t>EE: economic efficiency</w:t>
      </w:r>
    </w:p>
    <w:p w14:paraId="21235D93" w14:textId="77777777" w:rsidR="00CB6A98" w:rsidRDefault="00CB6A98" w:rsidP="00647B80">
      <w:pPr>
        <w:pStyle w:val="ListParagraph"/>
        <w:numPr>
          <w:ilvl w:val="0"/>
          <w:numId w:val="27"/>
        </w:numPr>
        <w:spacing w:after="120" w:line="276" w:lineRule="auto"/>
        <w:contextualSpacing w:val="0"/>
        <w:rPr>
          <w:rFonts w:cstheme="minorHAnsi"/>
          <w:lang w:val="en-US"/>
        </w:rPr>
      </w:pPr>
      <w:r w:rsidRPr="003D6899">
        <w:rPr>
          <w:rFonts w:cstheme="minorHAnsi"/>
          <w:lang w:val="en-US"/>
        </w:rPr>
        <w:t xml:space="preserve">ENTSO-E: European Network of Transmission System Operators for Electricity </w:t>
      </w:r>
    </w:p>
    <w:p w14:paraId="7CC1894C" w14:textId="77777777" w:rsidR="00CB6A98" w:rsidRDefault="00CB6A98" w:rsidP="00647B80">
      <w:pPr>
        <w:pStyle w:val="ListParagraph"/>
        <w:numPr>
          <w:ilvl w:val="0"/>
          <w:numId w:val="27"/>
        </w:numPr>
        <w:spacing w:after="120" w:line="276" w:lineRule="auto"/>
        <w:contextualSpacing w:val="0"/>
        <w:rPr>
          <w:rFonts w:cstheme="minorHAnsi"/>
          <w:lang w:val="en-US"/>
        </w:rPr>
      </w:pPr>
      <w:r>
        <w:rPr>
          <w:rFonts w:cstheme="minorHAnsi"/>
          <w:lang w:val="en-US"/>
        </w:rPr>
        <w:t>FRR: frequency restoration reserve</w:t>
      </w:r>
    </w:p>
    <w:p w14:paraId="516113D8" w14:textId="77777777" w:rsidR="008A74B3" w:rsidRDefault="008A74B3" w:rsidP="00647B80">
      <w:pPr>
        <w:pStyle w:val="ListParagraph"/>
        <w:numPr>
          <w:ilvl w:val="0"/>
          <w:numId w:val="27"/>
        </w:numPr>
        <w:spacing w:after="120" w:line="276" w:lineRule="auto"/>
        <w:contextualSpacing w:val="0"/>
        <w:rPr>
          <w:rFonts w:cstheme="minorHAnsi"/>
          <w:lang w:val="en-GB"/>
        </w:rPr>
      </w:pPr>
      <w:r>
        <w:rPr>
          <w:rFonts w:cstheme="minorHAnsi"/>
          <w:lang w:val="en-GB"/>
        </w:rPr>
        <w:t>GCT: gate close time</w:t>
      </w:r>
    </w:p>
    <w:bookmarkEnd w:id="7"/>
    <w:p w14:paraId="208ACBEA" w14:textId="77777777" w:rsidR="00CB6A98" w:rsidRDefault="008A74B3" w:rsidP="00647B80">
      <w:pPr>
        <w:pStyle w:val="ListParagraph"/>
        <w:numPr>
          <w:ilvl w:val="0"/>
          <w:numId w:val="27"/>
        </w:numPr>
        <w:spacing w:after="120" w:line="276" w:lineRule="auto"/>
        <w:contextualSpacing w:val="0"/>
        <w:rPr>
          <w:rFonts w:cstheme="minorHAnsi"/>
          <w:lang w:val="en-US"/>
        </w:rPr>
      </w:pPr>
      <w:r>
        <w:rPr>
          <w:rFonts w:cstheme="minorHAnsi"/>
          <w:lang w:val="en-US"/>
        </w:rPr>
        <w:t>MCO: m</w:t>
      </w:r>
      <w:r w:rsidRPr="00A9393A">
        <w:rPr>
          <w:rFonts w:cstheme="minorHAnsi"/>
          <w:lang w:val="en-US"/>
        </w:rPr>
        <w:t xml:space="preserve">arket </w:t>
      </w:r>
      <w:r>
        <w:rPr>
          <w:rFonts w:cstheme="minorHAnsi"/>
          <w:lang w:val="en-US"/>
        </w:rPr>
        <w:t>c</w:t>
      </w:r>
      <w:r w:rsidRPr="00A9393A">
        <w:rPr>
          <w:rFonts w:cstheme="minorHAnsi"/>
          <w:lang w:val="en-US"/>
        </w:rPr>
        <w:t xml:space="preserve">oupling </w:t>
      </w:r>
      <w:r>
        <w:rPr>
          <w:rFonts w:cstheme="minorHAnsi"/>
          <w:lang w:val="en-US"/>
        </w:rPr>
        <w:t>o</w:t>
      </w:r>
      <w:r w:rsidRPr="00A9393A">
        <w:rPr>
          <w:rFonts w:cstheme="minorHAnsi"/>
          <w:lang w:val="en-US"/>
        </w:rPr>
        <w:t>perator</w:t>
      </w:r>
    </w:p>
    <w:p w14:paraId="43301D9C" w14:textId="21177C28" w:rsidR="004778B8" w:rsidRPr="00442DEA" w:rsidRDefault="004778B8" w:rsidP="00442DEA">
      <w:pPr>
        <w:pStyle w:val="ListParagraph"/>
        <w:numPr>
          <w:ilvl w:val="0"/>
          <w:numId w:val="27"/>
        </w:numPr>
        <w:spacing w:after="120" w:line="276" w:lineRule="auto"/>
        <w:contextualSpacing w:val="0"/>
        <w:rPr>
          <w:rFonts w:cstheme="minorHAnsi"/>
          <w:lang w:val="en-US"/>
        </w:rPr>
      </w:pPr>
      <w:r>
        <w:rPr>
          <w:rFonts w:cstheme="minorHAnsi"/>
          <w:lang w:val="en-US"/>
        </w:rPr>
        <w:t>mFRR: frequency restoration reserve with manual activation</w:t>
      </w:r>
    </w:p>
    <w:p w14:paraId="1B5F8079" w14:textId="3104FB43" w:rsidR="008A74B3" w:rsidRDefault="008A74B3" w:rsidP="00647B80">
      <w:pPr>
        <w:pStyle w:val="ListParagraph"/>
        <w:numPr>
          <w:ilvl w:val="0"/>
          <w:numId w:val="27"/>
        </w:numPr>
        <w:spacing w:after="120" w:line="276" w:lineRule="auto"/>
        <w:contextualSpacing w:val="0"/>
        <w:rPr>
          <w:rFonts w:cstheme="minorHAnsi"/>
          <w:lang w:val="en-US"/>
        </w:rPr>
      </w:pPr>
      <w:r>
        <w:rPr>
          <w:rFonts w:cstheme="minorHAnsi"/>
          <w:lang w:val="en-US"/>
        </w:rPr>
        <w:t>MTU: market time unit</w:t>
      </w:r>
    </w:p>
    <w:p w14:paraId="0C7DC60E" w14:textId="644C1E07" w:rsidR="008A74B3" w:rsidRPr="00A9393A" w:rsidRDefault="008A74B3" w:rsidP="00647B80">
      <w:pPr>
        <w:pStyle w:val="ListParagraph"/>
        <w:numPr>
          <w:ilvl w:val="0"/>
          <w:numId w:val="27"/>
        </w:numPr>
        <w:spacing w:after="120" w:line="276" w:lineRule="auto"/>
        <w:contextualSpacing w:val="0"/>
        <w:rPr>
          <w:rFonts w:cstheme="minorHAnsi"/>
          <w:lang w:val="en-US"/>
        </w:rPr>
      </w:pPr>
      <w:r>
        <w:rPr>
          <w:rFonts w:cstheme="minorHAnsi"/>
          <w:lang w:val="en-US"/>
        </w:rPr>
        <w:t>NRA</w:t>
      </w:r>
      <w:r w:rsidR="00B178F3">
        <w:rPr>
          <w:rFonts w:cstheme="minorHAnsi"/>
          <w:lang w:val="en-US"/>
        </w:rPr>
        <w:t>:</w:t>
      </w:r>
      <w:r>
        <w:rPr>
          <w:rFonts w:cstheme="minorHAnsi"/>
          <w:lang w:val="en-US"/>
        </w:rPr>
        <w:t xml:space="preserve"> </w:t>
      </w:r>
      <w:r w:rsidRPr="00AE55CC">
        <w:rPr>
          <w:rFonts w:cstheme="minorHAnsi"/>
          <w:lang w:val="en-US"/>
        </w:rPr>
        <w:t>national regulatory authority</w:t>
      </w:r>
    </w:p>
    <w:p w14:paraId="05B05860" w14:textId="77777777" w:rsidR="008A74B3" w:rsidRDefault="008A74B3" w:rsidP="00647B80">
      <w:pPr>
        <w:pStyle w:val="ListParagraph"/>
        <w:numPr>
          <w:ilvl w:val="0"/>
          <w:numId w:val="27"/>
        </w:numPr>
        <w:spacing w:after="120" w:line="276" w:lineRule="auto"/>
        <w:contextualSpacing w:val="0"/>
        <w:rPr>
          <w:rFonts w:cstheme="minorHAnsi"/>
          <w:lang w:val="en-US"/>
        </w:rPr>
      </w:pPr>
      <w:r>
        <w:rPr>
          <w:rFonts w:cstheme="minorHAnsi"/>
          <w:lang w:val="en-US"/>
        </w:rPr>
        <w:t>RR: replacement reserve</w:t>
      </w:r>
    </w:p>
    <w:p w14:paraId="593B1A43" w14:textId="77777777" w:rsidR="008A74B3" w:rsidRDefault="008A74B3" w:rsidP="00647B80">
      <w:pPr>
        <w:pStyle w:val="ListParagraph"/>
        <w:numPr>
          <w:ilvl w:val="0"/>
          <w:numId w:val="27"/>
        </w:numPr>
        <w:spacing w:after="120" w:line="276" w:lineRule="auto"/>
        <w:contextualSpacing w:val="0"/>
        <w:rPr>
          <w:rFonts w:cstheme="minorHAnsi"/>
          <w:lang w:val="en-US"/>
        </w:rPr>
      </w:pPr>
      <w:r>
        <w:rPr>
          <w:rFonts w:cstheme="minorHAnsi"/>
          <w:lang w:val="en-US"/>
        </w:rPr>
        <w:t>SDAC: single day-ahead coupling</w:t>
      </w:r>
    </w:p>
    <w:p w14:paraId="73AD0827" w14:textId="3F9DA116" w:rsidR="008A74B3" w:rsidRPr="004778B8" w:rsidRDefault="00CB6A98" w:rsidP="00647B80">
      <w:pPr>
        <w:pStyle w:val="ListParagraph"/>
        <w:numPr>
          <w:ilvl w:val="0"/>
          <w:numId w:val="27"/>
        </w:numPr>
        <w:spacing w:after="120" w:line="276" w:lineRule="auto"/>
        <w:contextualSpacing w:val="0"/>
        <w:rPr>
          <w:rFonts w:cstheme="minorHAnsi"/>
          <w:color w:val="000000" w:themeColor="text1"/>
        </w:rPr>
      </w:pPr>
      <w:r w:rsidRPr="004778B8">
        <w:rPr>
          <w:rFonts w:cstheme="minorHAnsi"/>
          <w:lang w:val="en-US"/>
        </w:rPr>
        <w:t xml:space="preserve">SOGL: </w:t>
      </w:r>
      <w:r w:rsidR="004778B8">
        <w:rPr>
          <w:rFonts w:cstheme="minorHAnsi"/>
          <w:lang w:val="en-US"/>
        </w:rPr>
        <w:t>Commission Regulation (EU) 2017/1485 establishing a guideline on electricity transmission system operation</w:t>
      </w:r>
      <w:r w:rsidR="004778B8" w:rsidDel="004778B8">
        <w:rPr>
          <w:rFonts w:cstheme="minorHAnsi"/>
          <w:lang w:val="en-US"/>
        </w:rPr>
        <w:t xml:space="preserve"> </w:t>
      </w:r>
      <w:r w:rsidRPr="004778B8">
        <w:rPr>
          <w:rFonts w:cstheme="minorHAnsi"/>
          <w:lang w:val="en-US"/>
        </w:rPr>
        <w:t>TSO: transmission system operator</w:t>
      </w:r>
    </w:p>
    <w:p w14:paraId="0BDB3C7A" w14:textId="77777777" w:rsidR="00621D38" w:rsidRDefault="00621D38" w:rsidP="00647B80">
      <w:pPr>
        <w:spacing w:after="120" w:line="276" w:lineRule="auto"/>
        <w:jc w:val="center"/>
        <w:rPr>
          <w:rFonts w:eastAsia="Times New Roman" w:cstheme="minorHAnsi"/>
          <w:b/>
          <w:szCs w:val="24"/>
        </w:rPr>
      </w:pPr>
    </w:p>
    <w:p w14:paraId="5F46F1B5" w14:textId="4FDC919B" w:rsidR="008A74B3" w:rsidRDefault="008A74B3" w:rsidP="00647B80">
      <w:pPr>
        <w:spacing w:after="120" w:line="276" w:lineRule="auto"/>
        <w:jc w:val="center"/>
        <w:rPr>
          <w:rFonts w:ascii="Times New Roman" w:hAnsi="Times New Roman" w:cstheme="majorHAnsi"/>
          <w:b/>
          <w:color w:val="23236E" w:themeColor="text2"/>
          <w:sz w:val="24"/>
          <w:szCs w:val="28"/>
        </w:rPr>
      </w:pPr>
      <w:bookmarkStart w:id="8" w:name="_Toc432586769"/>
      <w:bookmarkStart w:id="9" w:name="_Toc432586789"/>
      <w:bookmarkStart w:id="10" w:name="_Toc505249294"/>
      <w:r>
        <w:br w:type="page"/>
      </w:r>
    </w:p>
    <w:p w14:paraId="44CDDEB4" w14:textId="3E731059" w:rsidR="008A0967" w:rsidRPr="00370ACD" w:rsidRDefault="008A0967" w:rsidP="00F45213">
      <w:pPr>
        <w:pStyle w:val="headline1"/>
      </w:pPr>
      <w:bookmarkStart w:id="11" w:name="_Toc19192525"/>
      <w:r w:rsidRPr="00370ACD">
        <w:t>Subject matter and scope</w:t>
      </w:r>
      <w:bookmarkEnd w:id="8"/>
      <w:bookmarkEnd w:id="9"/>
      <w:bookmarkEnd w:id="10"/>
      <w:bookmarkEnd w:id="11"/>
    </w:p>
    <w:p w14:paraId="3D584ED8" w14:textId="66D9DDA7" w:rsidR="0007001A" w:rsidRPr="0007001A" w:rsidRDefault="00F74B17" w:rsidP="00647B80">
      <w:pPr>
        <w:pStyle w:val="ListParagraph"/>
        <w:numPr>
          <w:ilvl w:val="0"/>
          <w:numId w:val="7"/>
        </w:numPr>
        <w:spacing w:after="120" w:line="276" w:lineRule="auto"/>
        <w:ind w:left="357" w:hanging="357"/>
        <w:contextualSpacing w:val="0"/>
        <w:rPr>
          <w:rFonts w:cstheme="minorHAnsi"/>
          <w:color w:val="000000" w:themeColor="text1"/>
          <w:lang w:val="en-US"/>
        </w:rPr>
      </w:pPr>
      <w:r>
        <w:rPr>
          <w:rFonts w:cstheme="minorHAnsi"/>
          <w:color w:val="000000" w:themeColor="text1"/>
          <w:lang w:val="en-US"/>
        </w:rPr>
        <w:t xml:space="preserve">This methodology specifies the CZC </w:t>
      </w:r>
      <w:r w:rsidR="00ED236E" w:rsidRPr="00372205">
        <w:rPr>
          <w:rFonts w:cstheme="minorHAnsi"/>
          <w:color w:val="000000" w:themeColor="text1"/>
          <w:lang w:val="en-US"/>
        </w:rPr>
        <w:t>for the exchange of balancing capacity or sharing of reserves</w:t>
      </w:r>
      <w:r>
        <w:rPr>
          <w:rFonts w:cstheme="minorHAnsi"/>
          <w:color w:val="000000" w:themeColor="text1"/>
          <w:lang w:val="en-US"/>
        </w:rPr>
        <w:t xml:space="preserve"> for the CCR Core</w:t>
      </w:r>
      <w:r w:rsidR="00076B2D" w:rsidRPr="00372205">
        <w:rPr>
          <w:rFonts w:cstheme="minorHAnsi"/>
          <w:color w:val="000000" w:themeColor="text1"/>
          <w:lang w:val="en-GB"/>
        </w:rPr>
        <w:t xml:space="preserve">, </w:t>
      </w:r>
      <w:r w:rsidR="00ED236E" w:rsidRPr="00372205">
        <w:rPr>
          <w:rFonts w:cstheme="minorHAnsi"/>
          <w:color w:val="000000" w:themeColor="text1"/>
          <w:lang w:val="en-GB"/>
        </w:rPr>
        <w:t xml:space="preserve">which is based on the forecasted </w:t>
      </w:r>
      <w:r w:rsidR="002D7A5D">
        <w:t xml:space="preserve">market values of </w:t>
      </w:r>
      <w:r>
        <w:t xml:space="preserve">CZC </w:t>
      </w:r>
      <w:r w:rsidR="00ED236E" w:rsidRPr="00BB1049">
        <w:t xml:space="preserve">for the exchange of energy and </w:t>
      </w:r>
      <w:r w:rsidR="00442DEA">
        <w:t xml:space="preserve">the forecasted market values </w:t>
      </w:r>
      <w:r w:rsidR="00ED236E" w:rsidRPr="00BB1049">
        <w:t>for the exchange of balancing capacity or sharing of reserves.</w:t>
      </w:r>
    </w:p>
    <w:p w14:paraId="68F6B678" w14:textId="5ECF48DF" w:rsidR="00442DEA" w:rsidRDefault="00D22908" w:rsidP="00647B80">
      <w:pPr>
        <w:pStyle w:val="ListParagraph"/>
        <w:numPr>
          <w:ilvl w:val="0"/>
          <w:numId w:val="7"/>
        </w:numPr>
        <w:spacing w:after="120" w:line="276" w:lineRule="auto"/>
        <w:ind w:left="357" w:hanging="357"/>
        <w:contextualSpacing w:val="0"/>
        <w:rPr>
          <w:rFonts w:cstheme="minorHAnsi"/>
          <w:color w:val="000000" w:themeColor="text1"/>
          <w:lang w:val="en-US"/>
        </w:rPr>
      </w:pPr>
      <w:r w:rsidRPr="00372205">
        <w:rPr>
          <w:rFonts w:cstheme="minorHAnsi"/>
          <w:color w:val="000000" w:themeColor="text1"/>
          <w:lang w:val="en-US"/>
        </w:rPr>
        <w:t>The scope of the</w:t>
      </w:r>
      <w:r w:rsidR="00E5425F" w:rsidRPr="00372205">
        <w:rPr>
          <w:rFonts w:cstheme="minorHAnsi"/>
          <w:color w:val="000000" w:themeColor="text1"/>
          <w:lang w:val="en-US"/>
        </w:rPr>
        <w:t xml:space="preserve"> </w:t>
      </w:r>
      <w:r w:rsidR="00193ECF">
        <w:rPr>
          <w:rFonts w:cstheme="minorHAnsi"/>
          <w:color w:val="000000" w:themeColor="text1"/>
          <w:lang w:val="en-US"/>
        </w:rPr>
        <w:t xml:space="preserve">EE CZCA </w:t>
      </w:r>
      <w:r w:rsidR="008718E9">
        <w:rPr>
          <w:rFonts w:cstheme="minorHAnsi"/>
          <w:color w:val="000000" w:themeColor="text1"/>
          <w:lang w:val="en-US"/>
        </w:rPr>
        <w:t>methodology</w:t>
      </w:r>
      <w:r w:rsidR="00CB6A98" w:rsidRPr="00372205">
        <w:rPr>
          <w:rFonts w:cstheme="minorHAnsi"/>
          <w:color w:val="000000" w:themeColor="text1"/>
          <w:lang w:val="en-US"/>
        </w:rPr>
        <w:t xml:space="preserve"> does not extend to the assignment of roles and responsibilities to specific parties. </w:t>
      </w:r>
      <w:r w:rsidR="00621D38" w:rsidRPr="00372205">
        <w:rPr>
          <w:rFonts w:cstheme="minorHAnsi"/>
          <w:color w:val="000000" w:themeColor="text1"/>
          <w:lang w:val="en-US"/>
        </w:rPr>
        <w:t>Also,</w:t>
      </w:r>
      <w:r w:rsidR="00CB6A98" w:rsidRPr="00372205">
        <w:rPr>
          <w:rFonts w:cstheme="minorHAnsi"/>
          <w:color w:val="000000" w:themeColor="text1"/>
          <w:lang w:val="en-US"/>
        </w:rPr>
        <w:t xml:space="preserve"> the governance framework for specific roles or responsibilities and TSO-TSO settlement rules are out of scope of the </w:t>
      </w:r>
      <w:r w:rsidR="00193ECF">
        <w:rPr>
          <w:rFonts w:cstheme="minorHAnsi"/>
          <w:color w:val="000000" w:themeColor="text1"/>
          <w:lang w:val="en-US"/>
        </w:rPr>
        <w:t xml:space="preserve">EE CZCA </w:t>
      </w:r>
      <w:r w:rsidR="008718E9">
        <w:rPr>
          <w:rFonts w:cstheme="minorHAnsi"/>
          <w:color w:val="000000" w:themeColor="text1"/>
          <w:lang w:val="en-US"/>
        </w:rPr>
        <w:t>methodology</w:t>
      </w:r>
      <w:r w:rsidR="00CB6A98" w:rsidRPr="00372205">
        <w:rPr>
          <w:rFonts w:cstheme="minorHAnsi"/>
          <w:color w:val="000000" w:themeColor="text1"/>
          <w:lang w:val="en-US"/>
        </w:rPr>
        <w:t xml:space="preserve">. </w:t>
      </w:r>
      <w:bookmarkStart w:id="12" w:name="_Toc432586770"/>
      <w:bookmarkStart w:id="13" w:name="_Toc432586790"/>
    </w:p>
    <w:p w14:paraId="51A9CB2E" w14:textId="630CB451" w:rsidR="002D7A5D" w:rsidRDefault="000D3FAF" w:rsidP="00647B80">
      <w:pPr>
        <w:pStyle w:val="ListParagraph"/>
        <w:numPr>
          <w:ilvl w:val="0"/>
          <w:numId w:val="7"/>
        </w:numPr>
        <w:spacing w:after="120" w:line="276" w:lineRule="auto"/>
        <w:ind w:left="357" w:hanging="357"/>
        <w:contextualSpacing w:val="0"/>
        <w:rPr>
          <w:rFonts w:cstheme="minorHAnsi"/>
          <w:color w:val="000000" w:themeColor="text1"/>
          <w:lang w:val="en-US"/>
        </w:rPr>
      </w:pPr>
      <w:r w:rsidRPr="00372205">
        <w:rPr>
          <w:rFonts w:cstheme="minorHAnsi"/>
          <w:color w:val="000000" w:themeColor="text1"/>
          <w:lang w:val="en-US"/>
        </w:rPr>
        <w:t xml:space="preserve">The </w:t>
      </w:r>
      <w:r w:rsidR="00F03A1E">
        <w:rPr>
          <w:rFonts w:cstheme="minorHAnsi"/>
          <w:color w:val="000000" w:themeColor="text1"/>
          <w:lang w:val="en-US"/>
        </w:rPr>
        <w:t>application</w:t>
      </w:r>
      <w:r w:rsidR="00F03A1E" w:rsidRPr="00372205">
        <w:rPr>
          <w:rFonts w:cstheme="minorHAnsi"/>
          <w:color w:val="000000" w:themeColor="text1"/>
          <w:lang w:val="en-US"/>
        </w:rPr>
        <w:t xml:space="preserve"> </w:t>
      </w:r>
      <w:r w:rsidRPr="00372205">
        <w:rPr>
          <w:rFonts w:cstheme="minorHAnsi"/>
          <w:color w:val="000000" w:themeColor="text1"/>
          <w:lang w:val="en-US"/>
        </w:rPr>
        <w:t xml:space="preserve">of </w:t>
      </w:r>
      <w:r w:rsidR="00F03A1E">
        <w:rPr>
          <w:rFonts w:cstheme="minorHAnsi"/>
          <w:color w:val="000000" w:themeColor="text1"/>
          <w:lang w:val="en-US"/>
        </w:rPr>
        <w:t xml:space="preserve">this EE CZCA methodology </w:t>
      </w:r>
      <w:r w:rsidRPr="00372205">
        <w:rPr>
          <w:rFonts w:cstheme="minorHAnsi"/>
          <w:color w:val="000000" w:themeColor="text1"/>
          <w:lang w:val="en-US"/>
        </w:rPr>
        <w:t xml:space="preserve">is a voluntary initiative by two or more TSOs </w:t>
      </w:r>
      <w:r w:rsidR="00F03A1E">
        <w:rPr>
          <w:rFonts w:cstheme="minorHAnsi"/>
          <w:color w:val="000000" w:themeColor="text1"/>
          <w:lang w:val="en-US"/>
        </w:rPr>
        <w:t xml:space="preserve">of a BCC </w:t>
      </w:r>
      <w:r w:rsidRPr="00372205">
        <w:rPr>
          <w:rFonts w:cstheme="minorHAnsi"/>
          <w:color w:val="000000" w:themeColor="text1"/>
          <w:lang w:val="en-US"/>
        </w:rPr>
        <w:t>or at the request of their relevant regulatory authori</w:t>
      </w:r>
      <w:r w:rsidR="00122170" w:rsidRPr="00372205">
        <w:rPr>
          <w:rFonts w:cstheme="minorHAnsi"/>
          <w:color w:val="000000" w:themeColor="text1"/>
          <w:lang w:val="en-US"/>
        </w:rPr>
        <w:t xml:space="preserve">ties </w:t>
      </w:r>
      <w:r w:rsidR="00442DEA">
        <w:rPr>
          <w:rFonts w:cstheme="minorHAnsi"/>
          <w:color w:val="000000" w:themeColor="text1"/>
          <w:lang w:val="en-US"/>
        </w:rPr>
        <w:t xml:space="preserve">(NRAs) </w:t>
      </w:r>
      <w:r w:rsidR="00122170" w:rsidRPr="00372205">
        <w:rPr>
          <w:rFonts w:cstheme="minorHAnsi"/>
          <w:color w:val="000000" w:themeColor="text1"/>
          <w:lang w:val="en-US"/>
        </w:rPr>
        <w:t xml:space="preserve">in accordance with </w:t>
      </w:r>
      <w:r w:rsidR="00F03A1E">
        <w:rPr>
          <w:rFonts w:cstheme="minorHAnsi"/>
          <w:color w:val="000000" w:themeColor="text1"/>
          <w:lang w:val="en-US"/>
        </w:rPr>
        <w:t>article</w:t>
      </w:r>
      <w:r w:rsidR="00F03A1E" w:rsidRPr="0007001A">
        <w:rPr>
          <w:rFonts w:cstheme="minorHAnsi"/>
          <w:color w:val="000000" w:themeColor="text1"/>
          <w:lang w:val="en-US"/>
        </w:rPr>
        <w:t> 38(1) of the EBGL</w:t>
      </w:r>
      <w:r w:rsidR="00F03A1E">
        <w:rPr>
          <w:rFonts w:cstheme="minorHAnsi"/>
          <w:color w:val="000000" w:themeColor="text1"/>
          <w:lang w:val="en-US"/>
        </w:rPr>
        <w:t xml:space="preserve"> and </w:t>
      </w:r>
      <w:r w:rsidR="00735F4C">
        <w:rPr>
          <w:rFonts w:cstheme="minorHAnsi"/>
          <w:color w:val="000000" w:themeColor="text1"/>
          <w:lang w:val="en-US"/>
        </w:rPr>
        <w:t>article</w:t>
      </w:r>
      <w:r w:rsidR="00122170" w:rsidRPr="00372205">
        <w:rPr>
          <w:rFonts w:cstheme="minorHAnsi"/>
          <w:color w:val="000000" w:themeColor="text1"/>
          <w:lang w:val="en-US"/>
        </w:rPr>
        <w:t> </w:t>
      </w:r>
      <w:r w:rsidR="00F03A1E">
        <w:rPr>
          <w:rFonts w:cstheme="minorHAnsi"/>
          <w:color w:val="000000" w:themeColor="text1"/>
          <w:lang w:val="en-US"/>
        </w:rPr>
        <w:t>59</w:t>
      </w:r>
      <w:r w:rsidR="00F03A1E" w:rsidRPr="00372205">
        <w:rPr>
          <w:rFonts w:cstheme="minorHAnsi"/>
          <w:color w:val="000000" w:themeColor="text1"/>
          <w:lang w:val="en-US"/>
        </w:rPr>
        <w:t xml:space="preserve"> </w:t>
      </w:r>
      <w:r w:rsidRPr="00372205">
        <w:rPr>
          <w:rFonts w:cstheme="minorHAnsi"/>
          <w:color w:val="000000" w:themeColor="text1"/>
          <w:lang w:val="en-US"/>
        </w:rPr>
        <w:t xml:space="preserve">of Directive </w:t>
      </w:r>
      <w:r w:rsidR="00F03A1E" w:rsidRPr="00372205">
        <w:rPr>
          <w:rFonts w:cstheme="minorHAnsi"/>
          <w:color w:val="000000" w:themeColor="text1"/>
          <w:lang w:val="en-US"/>
        </w:rPr>
        <w:t>20</w:t>
      </w:r>
      <w:r w:rsidR="00F03A1E">
        <w:rPr>
          <w:rFonts w:cstheme="minorHAnsi"/>
          <w:color w:val="000000" w:themeColor="text1"/>
          <w:lang w:val="en-US"/>
        </w:rPr>
        <w:t>1</w:t>
      </w:r>
      <w:r w:rsidR="00F03A1E" w:rsidRPr="00372205">
        <w:rPr>
          <w:rFonts w:cstheme="minorHAnsi"/>
          <w:color w:val="000000" w:themeColor="text1"/>
          <w:lang w:val="en-US"/>
        </w:rPr>
        <w:t>9</w:t>
      </w:r>
      <w:r w:rsidRPr="00372205">
        <w:rPr>
          <w:rFonts w:cstheme="minorHAnsi"/>
          <w:color w:val="000000" w:themeColor="text1"/>
          <w:lang w:val="en-US"/>
        </w:rPr>
        <w:t>/</w:t>
      </w:r>
      <w:r w:rsidR="00F03A1E">
        <w:rPr>
          <w:rFonts w:cstheme="minorHAnsi"/>
          <w:color w:val="000000" w:themeColor="text1"/>
          <w:lang w:val="en-US"/>
        </w:rPr>
        <w:t>944</w:t>
      </w:r>
      <w:r w:rsidR="00442DEA">
        <w:rPr>
          <w:rFonts w:cstheme="minorHAnsi"/>
          <w:color w:val="000000" w:themeColor="text1"/>
          <w:lang w:val="en-US"/>
        </w:rPr>
        <w:t>.</w:t>
      </w:r>
      <w:r w:rsidRPr="00372205">
        <w:rPr>
          <w:rFonts w:cstheme="minorHAnsi"/>
          <w:color w:val="000000" w:themeColor="text1"/>
          <w:lang w:val="en-US"/>
        </w:rPr>
        <w:t>.</w:t>
      </w:r>
    </w:p>
    <w:p w14:paraId="7A555B91" w14:textId="5F37018C" w:rsidR="0007001A" w:rsidRPr="0007001A" w:rsidRDefault="0007001A" w:rsidP="00647B80">
      <w:pPr>
        <w:pStyle w:val="ListParagraph"/>
        <w:numPr>
          <w:ilvl w:val="0"/>
          <w:numId w:val="7"/>
        </w:numPr>
        <w:spacing w:after="120" w:line="276" w:lineRule="auto"/>
        <w:ind w:left="357" w:hanging="357"/>
        <w:contextualSpacing w:val="0"/>
        <w:rPr>
          <w:rFonts w:cstheme="minorHAnsi"/>
          <w:color w:val="000000" w:themeColor="text1"/>
          <w:lang w:val="en-US"/>
        </w:rPr>
      </w:pPr>
      <w:r w:rsidRPr="0007001A">
        <w:rPr>
          <w:rFonts w:cstheme="minorHAnsi"/>
          <w:color w:val="000000" w:themeColor="text1"/>
          <w:lang w:val="en-US"/>
        </w:rPr>
        <w:t xml:space="preserve">The </w:t>
      </w:r>
      <w:r w:rsidR="00F03A1E">
        <w:rPr>
          <w:rFonts w:cstheme="minorHAnsi"/>
          <w:color w:val="000000" w:themeColor="text1"/>
          <w:lang w:val="en-US"/>
        </w:rPr>
        <w:t>application</w:t>
      </w:r>
      <w:r w:rsidR="00F03A1E" w:rsidRPr="0007001A">
        <w:rPr>
          <w:rFonts w:cstheme="minorHAnsi"/>
          <w:color w:val="000000" w:themeColor="text1"/>
          <w:lang w:val="en-US"/>
        </w:rPr>
        <w:t xml:space="preserve"> </w:t>
      </w:r>
      <w:r w:rsidRPr="0007001A">
        <w:rPr>
          <w:rFonts w:cstheme="minorHAnsi"/>
          <w:color w:val="000000" w:themeColor="text1"/>
          <w:lang w:val="en-US"/>
        </w:rPr>
        <w:t xml:space="preserve">of </w:t>
      </w:r>
      <w:r w:rsidR="00F03A1E">
        <w:rPr>
          <w:rFonts w:cstheme="minorHAnsi"/>
          <w:color w:val="000000" w:themeColor="text1"/>
          <w:lang w:val="en-US"/>
        </w:rPr>
        <w:t xml:space="preserve">this EE CZCA methodology </w:t>
      </w:r>
      <w:r w:rsidRPr="0007001A">
        <w:rPr>
          <w:rFonts w:cstheme="minorHAnsi"/>
          <w:color w:val="000000" w:themeColor="text1"/>
          <w:lang w:val="en-US"/>
        </w:rPr>
        <w:t>by two or mor</w:t>
      </w:r>
      <w:r w:rsidR="004065F7">
        <w:rPr>
          <w:rFonts w:cstheme="minorHAnsi"/>
          <w:color w:val="000000" w:themeColor="text1"/>
          <w:lang w:val="en-US"/>
        </w:rPr>
        <w:t xml:space="preserve">e TSOs </w:t>
      </w:r>
      <w:r w:rsidR="00F03A1E">
        <w:rPr>
          <w:rFonts w:cstheme="minorHAnsi"/>
          <w:color w:val="000000" w:themeColor="text1"/>
          <w:lang w:val="en-US"/>
        </w:rPr>
        <w:t xml:space="preserve">of a BCC </w:t>
      </w:r>
      <w:r w:rsidR="004065F7">
        <w:rPr>
          <w:rFonts w:cstheme="minorHAnsi"/>
          <w:color w:val="000000" w:themeColor="text1"/>
          <w:lang w:val="en-US"/>
        </w:rPr>
        <w:t>shall be subject to</w:t>
      </w:r>
      <w:r w:rsidRPr="0007001A">
        <w:rPr>
          <w:rFonts w:cstheme="minorHAnsi"/>
          <w:color w:val="000000" w:themeColor="text1"/>
          <w:lang w:val="en-US"/>
        </w:rPr>
        <w:t xml:space="preserve"> TSO notification pursuant to </w:t>
      </w:r>
      <w:r w:rsidR="00735F4C">
        <w:rPr>
          <w:rFonts w:cstheme="minorHAnsi"/>
          <w:color w:val="000000" w:themeColor="text1"/>
          <w:lang w:val="en-US"/>
        </w:rPr>
        <w:t>article</w:t>
      </w:r>
      <w:r w:rsidRPr="0007001A">
        <w:rPr>
          <w:rFonts w:cstheme="minorHAnsi"/>
          <w:color w:val="000000" w:themeColor="text1"/>
          <w:lang w:val="en-US"/>
        </w:rPr>
        <w:t> 150 of the SOGL.</w:t>
      </w:r>
    </w:p>
    <w:p w14:paraId="652343B7" w14:textId="1821968F" w:rsidR="0007001A" w:rsidRPr="0007001A" w:rsidRDefault="00F03A1E" w:rsidP="00647B80">
      <w:pPr>
        <w:pStyle w:val="ListParagraph"/>
        <w:numPr>
          <w:ilvl w:val="0"/>
          <w:numId w:val="7"/>
        </w:numPr>
        <w:spacing w:after="120" w:line="276" w:lineRule="auto"/>
        <w:ind w:left="357" w:hanging="357"/>
        <w:contextualSpacing w:val="0"/>
        <w:rPr>
          <w:rFonts w:cstheme="minorHAnsi"/>
          <w:color w:val="000000" w:themeColor="text1"/>
          <w:lang w:val="en-US"/>
        </w:rPr>
      </w:pPr>
      <w:r>
        <w:rPr>
          <w:rFonts w:cstheme="minorHAnsi"/>
          <w:color w:val="000000" w:themeColor="text1"/>
          <w:lang w:val="en-US"/>
        </w:rPr>
        <w:t xml:space="preserve">This EE CZCA </w:t>
      </w:r>
      <w:r w:rsidR="008718E9">
        <w:rPr>
          <w:rFonts w:cstheme="minorHAnsi"/>
          <w:color w:val="000000" w:themeColor="text1"/>
          <w:lang w:val="en-US"/>
        </w:rPr>
        <w:t>methodology</w:t>
      </w:r>
      <w:r w:rsidR="0007001A" w:rsidRPr="0007001A">
        <w:rPr>
          <w:rFonts w:cstheme="minorHAnsi"/>
          <w:color w:val="000000" w:themeColor="text1"/>
          <w:lang w:val="en-US"/>
        </w:rPr>
        <w:t xml:space="preserve"> shall include the bidding zone borders, </w:t>
      </w:r>
      <w:r w:rsidR="004065F7">
        <w:rPr>
          <w:rFonts w:cstheme="minorHAnsi"/>
          <w:color w:val="000000" w:themeColor="text1"/>
          <w:lang w:val="en-US"/>
        </w:rPr>
        <w:t xml:space="preserve">the volume of allocated CZC, </w:t>
      </w:r>
      <w:r w:rsidR="0007001A" w:rsidRPr="0007001A">
        <w:rPr>
          <w:rFonts w:cstheme="minorHAnsi"/>
          <w:color w:val="000000" w:themeColor="text1"/>
          <w:lang w:val="en-US"/>
        </w:rPr>
        <w:t>the market timeframe, the duration of application an</w:t>
      </w:r>
      <w:r w:rsidR="007276A4">
        <w:rPr>
          <w:rFonts w:cstheme="minorHAnsi"/>
          <w:color w:val="000000" w:themeColor="text1"/>
          <w:lang w:val="en-US"/>
        </w:rPr>
        <w:t xml:space="preserve">d the detailed description of </w:t>
      </w:r>
      <w:r>
        <w:rPr>
          <w:rFonts w:cstheme="minorHAnsi"/>
          <w:color w:val="000000" w:themeColor="text1"/>
          <w:lang w:val="en-US"/>
        </w:rPr>
        <w:t>the allocation process</w:t>
      </w:r>
      <w:r w:rsidR="0007001A" w:rsidRPr="0007001A">
        <w:rPr>
          <w:rFonts w:cstheme="minorHAnsi"/>
          <w:color w:val="000000" w:themeColor="text1"/>
          <w:lang w:val="en-US"/>
        </w:rPr>
        <w:t>.</w:t>
      </w:r>
    </w:p>
    <w:p w14:paraId="24DC79F9" w14:textId="6EE92009" w:rsidR="0007001A" w:rsidRPr="0007001A" w:rsidRDefault="0007001A" w:rsidP="00647B80">
      <w:pPr>
        <w:pStyle w:val="ListParagraph"/>
        <w:numPr>
          <w:ilvl w:val="0"/>
          <w:numId w:val="7"/>
        </w:numPr>
        <w:spacing w:after="120" w:line="276" w:lineRule="auto"/>
        <w:ind w:left="357" w:hanging="357"/>
        <w:contextualSpacing w:val="0"/>
        <w:rPr>
          <w:rFonts w:cstheme="minorHAnsi"/>
          <w:color w:val="000000" w:themeColor="text1"/>
          <w:lang w:val="en-US"/>
        </w:rPr>
      </w:pPr>
      <w:r w:rsidRPr="0007001A">
        <w:rPr>
          <w:rFonts w:cstheme="minorHAnsi"/>
          <w:color w:val="000000" w:themeColor="text1"/>
          <w:lang w:val="en-US"/>
        </w:rPr>
        <w:t xml:space="preserve">All </w:t>
      </w:r>
      <w:r w:rsidR="00F03A1E">
        <w:rPr>
          <w:rFonts w:cstheme="minorHAnsi"/>
          <w:color w:val="000000" w:themeColor="text1"/>
          <w:lang w:val="en-US"/>
        </w:rPr>
        <w:t xml:space="preserve">Core </w:t>
      </w:r>
      <w:r w:rsidRPr="0007001A">
        <w:rPr>
          <w:rFonts w:cstheme="minorHAnsi"/>
          <w:color w:val="000000" w:themeColor="text1"/>
          <w:lang w:val="en-US"/>
        </w:rPr>
        <w:t xml:space="preserve">TSOs </w:t>
      </w:r>
      <w:r w:rsidR="00F03A1E">
        <w:rPr>
          <w:rFonts w:cstheme="minorHAnsi"/>
          <w:color w:val="000000" w:themeColor="text1"/>
          <w:lang w:val="en-US"/>
        </w:rPr>
        <w:t xml:space="preserve">of </w:t>
      </w:r>
      <w:r w:rsidRPr="0007001A">
        <w:rPr>
          <w:rFonts w:cstheme="minorHAnsi"/>
          <w:color w:val="000000" w:themeColor="text1"/>
          <w:lang w:val="en-US"/>
        </w:rPr>
        <w:t xml:space="preserve">a </w:t>
      </w:r>
      <w:r w:rsidR="00F03A1E">
        <w:rPr>
          <w:rFonts w:cstheme="minorHAnsi"/>
          <w:color w:val="000000" w:themeColor="text1"/>
          <w:lang w:val="en-US"/>
        </w:rPr>
        <w:t>BCC applying</w:t>
      </w:r>
      <w:r w:rsidR="00F03A1E" w:rsidRPr="0007001A">
        <w:rPr>
          <w:rFonts w:cstheme="minorHAnsi"/>
          <w:color w:val="000000" w:themeColor="text1"/>
          <w:lang w:val="en-US"/>
        </w:rPr>
        <w:t xml:space="preserve"> </w:t>
      </w:r>
      <w:r w:rsidRPr="0007001A">
        <w:rPr>
          <w:rFonts w:cstheme="minorHAnsi"/>
          <w:color w:val="000000" w:themeColor="text1"/>
          <w:lang w:val="en-US"/>
        </w:rPr>
        <w:t xml:space="preserve">the </w:t>
      </w:r>
      <w:r w:rsidR="00193ECF">
        <w:rPr>
          <w:rFonts w:cstheme="minorHAnsi"/>
          <w:color w:val="000000" w:themeColor="text1"/>
          <w:lang w:val="en-US"/>
        </w:rPr>
        <w:t xml:space="preserve">EE CZCA </w:t>
      </w:r>
      <w:r w:rsidR="008718E9">
        <w:rPr>
          <w:rFonts w:cstheme="minorHAnsi"/>
          <w:color w:val="000000" w:themeColor="text1"/>
          <w:lang w:val="en-US"/>
        </w:rPr>
        <w:t>methodology</w:t>
      </w:r>
      <w:r w:rsidRPr="0007001A">
        <w:rPr>
          <w:rFonts w:cstheme="minorHAnsi"/>
          <w:color w:val="000000" w:themeColor="text1"/>
          <w:lang w:val="en-US"/>
        </w:rPr>
        <w:t xml:space="preserve"> shall establish common and </w:t>
      </w:r>
      <w:proofErr w:type="spellStart"/>
      <w:r w:rsidRPr="0007001A">
        <w:rPr>
          <w:rFonts w:cstheme="minorHAnsi"/>
          <w:color w:val="000000" w:themeColor="text1"/>
          <w:lang w:val="en-US"/>
        </w:rPr>
        <w:t>harmonised</w:t>
      </w:r>
      <w:proofErr w:type="spellEnd"/>
      <w:r w:rsidRPr="0007001A">
        <w:rPr>
          <w:rFonts w:cstheme="minorHAnsi"/>
          <w:color w:val="000000" w:themeColor="text1"/>
          <w:lang w:val="en-US"/>
        </w:rPr>
        <w:t xml:space="preserve"> rules and processes for the exchange and procurement of balancing capacity pursuant to </w:t>
      </w:r>
      <w:r w:rsidR="00735F4C">
        <w:rPr>
          <w:rFonts w:cstheme="minorHAnsi"/>
          <w:color w:val="000000" w:themeColor="text1"/>
          <w:lang w:val="en-US"/>
        </w:rPr>
        <w:t>article</w:t>
      </w:r>
      <w:r w:rsidRPr="0007001A">
        <w:rPr>
          <w:rFonts w:cstheme="minorHAnsi"/>
          <w:color w:val="000000" w:themeColor="text1"/>
          <w:lang w:val="en-US"/>
        </w:rPr>
        <w:t> </w:t>
      </w:r>
      <w:r w:rsidR="00442DEA" w:rsidRPr="0007001A">
        <w:rPr>
          <w:rFonts w:cstheme="minorHAnsi"/>
          <w:color w:val="000000" w:themeColor="text1"/>
          <w:lang w:val="en-US"/>
        </w:rPr>
        <w:t>3</w:t>
      </w:r>
      <w:r w:rsidR="00442DEA">
        <w:rPr>
          <w:rFonts w:cstheme="minorHAnsi"/>
          <w:color w:val="000000" w:themeColor="text1"/>
          <w:lang w:val="en-US"/>
        </w:rPr>
        <w:t xml:space="preserve">2 and </w:t>
      </w:r>
      <w:r w:rsidR="00735F4C">
        <w:rPr>
          <w:rFonts w:cstheme="minorHAnsi"/>
          <w:color w:val="000000" w:themeColor="text1"/>
          <w:lang w:val="en-US"/>
        </w:rPr>
        <w:t>article</w:t>
      </w:r>
      <w:r w:rsidR="00442DEA">
        <w:rPr>
          <w:rFonts w:cstheme="minorHAnsi"/>
          <w:color w:val="000000" w:themeColor="text1"/>
          <w:lang w:val="en-US"/>
        </w:rPr>
        <w:t> 33</w:t>
      </w:r>
      <w:r w:rsidR="00442DEA" w:rsidRPr="0007001A">
        <w:rPr>
          <w:rFonts w:cstheme="minorHAnsi"/>
          <w:color w:val="000000" w:themeColor="text1"/>
          <w:lang w:val="en-US"/>
        </w:rPr>
        <w:t xml:space="preserve"> </w:t>
      </w:r>
      <w:r w:rsidRPr="0007001A">
        <w:rPr>
          <w:rFonts w:cstheme="minorHAnsi"/>
          <w:color w:val="000000" w:themeColor="text1"/>
          <w:lang w:val="en-US"/>
        </w:rPr>
        <w:t>of the EBGL.</w:t>
      </w:r>
    </w:p>
    <w:p w14:paraId="2F78D759" w14:textId="2CCBCBD0" w:rsidR="0007001A" w:rsidRPr="0007001A" w:rsidRDefault="00442DEA" w:rsidP="00647B80">
      <w:pPr>
        <w:pStyle w:val="ListParagraph"/>
        <w:numPr>
          <w:ilvl w:val="0"/>
          <w:numId w:val="7"/>
        </w:numPr>
        <w:spacing w:after="120" w:line="276" w:lineRule="auto"/>
        <w:ind w:left="357" w:hanging="357"/>
        <w:contextualSpacing w:val="0"/>
        <w:rPr>
          <w:rFonts w:cstheme="minorHAnsi"/>
          <w:color w:val="000000" w:themeColor="text1"/>
          <w:lang w:val="en-US"/>
        </w:rPr>
      </w:pPr>
      <w:r w:rsidRPr="0007001A">
        <w:rPr>
          <w:rFonts w:cstheme="minorHAnsi"/>
          <w:color w:val="000000" w:themeColor="text1"/>
          <w:lang w:val="en-US"/>
        </w:rPr>
        <w:t xml:space="preserve">According to </w:t>
      </w:r>
      <w:r w:rsidR="00735F4C">
        <w:rPr>
          <w:rFonts w:cstheme="minorHAnsi"/>
          <w:color w:val="000000" w:themeColor="text1"/>
          <w:lang w:val="en-US"/>
        </w:rPr>
        <w:t>article</w:t>
      </w:r>
      <w:r w:rsidRPr="0007001A">
        <w:rPr>
          <w:rFonts w:cstheme="minorHAnsi"/>
          <w:color w:val="000000" w:themeColor="text1"/>
          <w:lang w:val="en-US"/>
        </w:rPr>
        <w:t xml:space="preserve"> 38(4) of the EBGL, CZC allocated for the exchange of balancing capacity or sharing of reserves shall be used </w:t>
      </w:r>
      <w:r>
        <w:rPr>
          <w:rFonts w:cstheme="minorHAnsi"/>
          <w:color w:val="000000" w:themeColor="text1"/>
          <w:lang w:val="en-US"/>
        </w:rPr>
        <w:t xml:space="preserve">by the </w:t>
      </w:r>
      <w:r w:rsidR="00F03A1E">
        <w:rPr>
          <w:rFonts w:cstheme="minorHAnsi"/>
          <w:color w:val="000000" w:themeColor="text1"/>
          <w:lang w:val="en-US"/>
        </w:rPr>
        <w:t xml:space="preserve">BCC </w:t>
      </w:r>
      <w:r>
        <w:rPr>
          <w:rFonts w:cstheme="minorHAnsi"/>
          <w:color w:val="000000" w:themeColor="text1"/>
          <w:lang w:val="en-US"/>
        </w:rPr>
        <w:t xml:space="preserve">TSOs, </w:t>
      </w:r>
      <w:r w:rsidRPr="0007001A">
        <w:rPr>
          <w:rFonts w:cstheme="minorHAnsi"/>
          <w:color w:val="000000" w:themeColor="text1"/>
          <w:lang w:val="en-US"/>
        </w:rPr>
        <w:t xml:space="preserve">exclusively for the product where it was </w:t>
      </w:r>
      <w:r>
        <w:rPr>
          <w:rFonts w:cstheme="minorHAnsi"/>
          <w:color w:val="000000" w:themeColor="text1"/>
          <w:lang w:val="en-US"/>
        </w:rPr>
        <w:t>allocated</w:t>
      </w:r>
      <w:r w:rsidRPr="0007001A">
        <w:rPr>
          <w:rFonts w:cstheme="minorHAnsi"/>
          <w:color w:val="000000" w:themeColor="text1"/>
          <w:lang w:val="en-US"/>
        </w:rPr>
        <w:t xml:space="preserve"> for, being aFRR, mFRR</w:t>
      </w:r>
      <w:r>
        <w:rPr>
          <w:rFonts w:cstheme="minorHAnsi"/>
          <w:color w:val="000000" w:themeColor="text1"/>
          <w:lang w:val="en-US"/>
        </w:rPr>
        <w:t>,</w:t>
      </w:r>
      <w:r w:rsidRPr="0007001A">
        <w:rPr>
          <w:rFonts w:cstheme="minorHAnsi"/>
          <w:color w:val="000000" w:themeColor="text1"/>
          <w:lang w:val="en-US"/>
        </w:rPr>
        <w:t xml:space="preserve"> or RR. </w:t>
      </w:r>
      <w:r>
        <w:rPr>
          <w:rFonts w:cstheme="minorHAnsi"/>
          <w:color w:val="000000" w:themeColor="text1"/>
          <w:lang w:val="en-US"/>
        </w:rPr>
        <w:t xml:space="preserve">If the CZC </w:t>
      </w:r>
      <w:r w:rsidR="00F03A1E">
        <w:rPr>
          <w:rFonts w:cstheme="minorHAnsi"/>
          <w:color w:val="000000" w:themeColor="text1"/>
          <w:lang w:val="en-US"/>
        </w:rPr>
        <w:t xml:space="preserve">is not used for the product where it was allocated for, </w:t>
      </w:r>
      <w:r>
        <w:rPr>
          <w:rFonts w:cstheme="minorHAnsi"/>
          <w:color w:val="000000" w:themeColor="text1"/>
          <w:lang w:val="en-US"/>
        </w:rPr>
        <w:t xml:space="preserve">the CZC shall be used by all TSOs for the exchange of balancing energy with shorter activation times or for operating the imbalance netting process. </w:t>
      </w:r>
      <w:r w:rsidRPr="0007001A">
        <w:rPr>
          <w:rFonts w:cstheme="minorHAnsi"/>
          <w:color w:val="000000" w:themeColor="text1"/>
          <w:lang w:val="en-US"/>
        </w:rPr>
        <w:t xml:space="preserve">The reliability margin calculated pursuant to </w:t>
      </w:r>
      <w:r w:rsidR="008718E9">
        <w:rPr>
          <w:rFonts w:cstheme="minorHAnsi"/>
          <w:color w:val="000000" w:themeColor="text1"/>
          <w:lang w:val="en-US"/>
        </w:rPr>
        <w:t>CACMGL</w:t>
      </w:r>
      <w:r w:rsidRPr="0007001A">
        <w:rPr>
          <w:rFonts w:cstheme="minorHAnsi"/>
          <w:color w:val="000000" w:themeColor="text1"/>
          <w:lang w:val="en-US"/>
        </w:rPr>
        <w:t xml:space="preserve"> shall be used </w:t>
      </w:r>
      <w:r>
        <w:rPr>
          <w:rFonts w:cstheme="minorHAnsi"/>
          <w:color w:val="000000" w:themeColor="text1"/>
          <w:lang w:val="en-US"/>
        </w:rPr>
        <w:t xml:space="preserve">only </w:t>
      </w:r>
      <w:r w:rsidRPr="0007001A">
        <w:rPr>
          <w:rFonts w:cstheme="minorHAnsi"/>
          <w:color w:val="000000" w:themeColor="text1"/>
          <w:lang w:val="en-US"/>
        </w:rPr>
        <w:t xml:space="preserve">for operating and exchanging frequency containment reserves, except on Direct Current (‘DC’) interconnectors for which CZC for operating and exchanging frequency containment reserves may also be allocated in accordance with </w:t>
      </w:r>
      <w:r w:rsidR="00735F4C">
        <w:rPr>
          <w:rFonts w:cstheme="minorHAnsi"/>
          <w:color w:val="000000" w:themeColor="text1"/>
          <w:lang w:val="en-US"/>
        </w:rPr>
        <w:t>article</w:t>
      </w:r>
      <w:r w:rsidRPr="0007001A">
        <w:rPr>
          <w:rFonts w:cstheme="minorHAnsi"/>
          <w:color w:val="000000" w:themeColor="text1"/>
          <w:lang w:val="en-US"/>
        </w:rPr>
        <w:t> 38(1) of the EBGL</w:t>
      </w:r>
      <w:r w:rsidR="0007001A" w:rsidRPr="0007001A">
        <w:rPr>
          <w:rFonts w:cstheme="minorHAnsi"/>
          <w:color w:val="000000" w:themeColor="text1"/>
          <w:lang w:val="en-US"/>
        </w:rPr>
        <w:t>.</w:t>
      </w:r>
    </w:p>
    <w:p w14:paraId="44F52A48" w14:textId="77777777" w:rsidR="00A62633" w:rsidRPr="00F45213" w:rsidRDefault="00A62633" w:rsidP="00F45213">
      <w:pPr>
        <w:spacing w:after="120" w:line="276" w:lineRule="auto"/>
        <w:rPr>
          <w:rFonts w:cstheme="minorHAnsi"/>
          <w:color w:val="000000" w:themeColor="text1"/>
          <w:lang w:val="en-US"/>
        </w:rPr>
      </w:pPr>
    </w:p>
    <w:p w14:paraId="6B9FED9F" w14:textId="28E5466D" w:rsidR="00877DA5" w:rsidRPr="00F45213" w:rsidRDefault="00877DA5" w:rsidP="00F45213">
      <w:pPr>
        <w:pStyle w:val="headline1"/>
      </w:pPr>
      <w:bookmarkStart w:id="14" w:name="_Toc505249295"/>
      <w:bookmarkStart w:id="15" w:name="_Toc19192526"/>
      <w:r w:rsidRPr="00F45213">
        <w:t>Definitions</w:t>
      </w:r>
      <w:bookmarkEnd w:id="12"/>
      <w:bookmarkEnd w:id="13"/>
      <w:bookmarkEnd w:id="14"/>
      <w:bookmarkEnd w:id="15"/>
    </w:p>
    <w:p w14:paraId="6AE05DB5" w14:textId="384B585C" w:rsidR="00D20C8E" w:rsidRPr="00D20C8E" w:rsidRDefault="00D20C8E" w:rsidP="00647B80">
      <w:pPr>
        <w:pStyle w:val="textregular"/>
        <w:numPr>
          <w:ilvl w:val="0"/>
          <w:numId w:val="11"/>
        </w:numPr>
        <w:spacing w:line="276" w:lineRule="auto"/>
        <w:rPr>
          <w:lang w:val="fi-FI"/>
        </w:rPr>
      </w:pPr>
      <w:r w:rsidRPr="00D20C8E">
        <w:rPr>
          <w:lang w:val="fi-FI"/>
        </w:rPr>
        <w:t>Fo</w:t>
      </w:r>
      <w:r w:rsidR="007A0799">
        <w:rPr>
          <w:lang w:val="fi-FI"/>
        </w:rPr>
        <w:t xml:space="preserve">r the purposes of this </w:t>
      </w:r>
      <w:r w:rsidR="00193ECF">
        <w:rPr>
          <w:lang w:val="fi-FI"/>
        </w:rPr>
        <w:t xml:space="preserve">EE CZCA </w:t>
      </w:r>
      <w:r w:rsidR="008718E9">
        <w:rPr>
          <w:lang w:val="fi-FI"/>
        </w:rPr>
        <w:t>methodology</w:t>
      </w:r>
      <w:r w:rsidRPr="00D20C8E">
        <w:rPr>
          <w:lang w:val="fi-FI"/>
        </w:rPr>
        <w:t xml:space="preserve">, the terms used shall have the </w:t>
      </w:r>
      <w:r w:rsidR="00F80647">
        <w:rPr>
          <w:lang w:val="fi-FI"/>
        </w:rPr>
        <w:t>definition</w:t>
      </w:r>
      <w:r w:rsidR="00F80647" w:rsidRPr="00D20C8E">
        <w:rPr>
          <w:lang w:val="fi-FI"/>
        </w:rPr>
        <w:t xml:space="preserve"> </w:t>
      </w:r>
      <w:r w:rsidRPr="00D20C8E">
        <w:rPr>
          <w:lang w:val="fi-FI"/>
        </w:rPr>
        <w:t xml:space="preserve">given to them in </w:t>
      </w:r>
      <w:r w:rsidR="00735F4C">
        <w:rPr>
          <w:lang w:val="fi-FI"/>
        </w:rPr>
        <w:t>article</w:t>
      </w:r>
      <w:r w:rsidRPr="00D20C8E">
        <w:rPr>
          <w:lang w:val="fi-FI"/>
        </w:rPr>
        <w:t xml:space="preserve"> 2 of the Electricity Regulation, </w:t>
      </w:r>
      <w:r w:rsidR="00735F4C">
        <w:rPr>
          <w:lang w:val="fi-FI"/>
        </w:rPr>
        <w:t>article</w:t>
      </w:r>
      <w:r w:rsidRPr="00D20C8E">
        <w:rPr>
          <w:lang w:val="fi-FI"/>
        </w:rPr>
        <w:t xml:space="preserve"> 2 of the Transparency Regulation, </w:t>
      </w:r>
      <w:r w:rsidR="00735F4C">
        <w:rPr>
          <w:lang w:val="fi-FI"/>
        </w:rPr>
        <w:t>article</w:t>
      </w:r>
      <w:r w:rsidRPr="00D20C8E">
        <w:rPr>
          <w:lang w:val="fi-FI"/>
        </w:rPr>
        <w:t xml:space="preserve"> 2 of the </w:t>
      </w:r>
      <w:r w:rsidR="008718E9">
        <w:rPr>
          <w:lang w:val="fi-FI"/>
        </w:rPr>
        <w:t>CACMGL</w:t>
      </w:r>
      <w:r w:rsidRPr="00D20C8E">
        <w:rPr>
          <w:lang w:val="fi-FI"/>
        </w:rPr>
        <w:t xml:space="preserve">, </w:t>
      </w:r>
      <w:r w:rsidR="00735F4C">
        <w:rPr>
          <w:lang w:val="fi-FI"/>
        </w:rPr>
        <w:t>article</w:t>
      </w:r>
      <w:r w:rsidRPr="00D20C8E">
        <w:rPr>
          <w:lang w:val="fi-FI"/>
        </w:rPr>
        <w:t xml:space="preserve"> 3 of the SOGL and </w:t>
      </w:r>
      <w:r w:rsidR="00735F4C">
        <w:rPr>
          <w:lang w:val="fi-FI"/>
        </w:rPr>
        <w:t>article</w:t>
      </w:r>
      <w:r w:rsidRPr="00D20C8E">
        <w:rPr>
          <w:lang w:val="fi-FI"/>
        </w:rPr>
        <w:t xml:space="preserve"> 2 of the EBGL. </w:t>
      </w:r>
    </w:p>
    <w:p w14:paraId="74A9CED7" w14:textId="7AC9C17B" w:rsidR="00B90F7E" w:rsidRPr="004816AE" w:rsidRDefault="004816AE" w:rsidP="00647B80">
      <w:pPr>
        <w:pStyle w:val="textregular"/>
        <w:numPr>
          <w:ilvl w:val="0"/>
          <w:numId w:val="11"/>
        </w:numPr>
        <w:spacing w:line="276" w:lineRule="auto"/>
        <w:rPr>
          <w:lang w:val="en-US"/>
        </w:rPr>
      </w:pPr>
      <w:r w:rsidRPr="004816AE">
        <w:rPr>
          <w:lang w:val="fi-FI"/>
        </w:rPr>
        <w:t xml:space="preserve">The following </w:t>
      </w:r>
      <w:r w:rsidR="00F80647">
        <w:rPr>
          <w:lang w:val="fi-FI"/>
        </w:rPr>
        <w:t xml:space="preserve">additional </w:t>
      </w:r>
      <w:r w:rsidRPr="004816AE">
        <w:rPr>
          <w:lang w:val="fi-FI"/>
        </w:rPr>
        <w:t>definitions shall also apply:</w:t>
      </w:r>
    </w:p>
    <w:p w14:paraId="70856F81" w14:textId="77777777" w:rsidR="00EC34F9" w:rsidRPr="00B178F3" w:rsidRDefault="00EC34F9" w:rsidP="00EC34F9">
      <w:pPr>
        <w:pStyle w:val="textregular"/>
        <w:numPr>
          <w:ilvl w:val="0"/>
          <w:numId w:val="34"/>
        </w:numPr>
        <w:spacing w:line="276" w:lineRule="auto"/>
        <w:rPr>
          <w:lang w:val="en-US"/>
        </w:rPr>
      </w:pPr>
      <w:r w:rsidRPr="00B178F3">
        <w:rPr>
          <w:lang w:val="en-US"/>
        </w:rPr>
        <w:t>‘Allocation of cross</w:t>
      </w:r>
      <w:r>
        <w:rPr>
          <w:lang w:val="en-US"/>
        </w:rPr>
        <w:t>-</w:t>
      </w:r>
      <w:r w:rsidRPr="00B178F3">
        <w:rPr>
          <w:lang w:val="en-US"/>
        </w:rPr>
        <w:t xml:space="preserve">zonal capacity’ means CZC that is </w:t>
      </w:r>
      <w:r>
        <w:rPr>
          <w:lang w:val="en-US"/>
        </w:rPr>
        <w:t xml:space="preserve">exclusively </w:t>
      </w:r>
      <w:r w:rsidRPr="00B178F3">
        <w:rPr>
          <w:lang w:val="en-US"/>
        </w:rPr>
        <w:t>allocated for</w:t>
      </w:r>
      <w:r>
        <w:rPr>
          <w:lang w:val="en-US"/>
        </w:rPr>
        <w:t xml:space="preserve"> a certain market and consequently not available for another market</w:t>
      </w:r>
      <w:r w:rsidRPr="00B178F3">
        <w:rPr>
          <w:lang w:val="en-US"/>
        </w:rPr>
        <w:t>.</w:t>
      </w:r>
    </w:p>
    <w:p w14:paraId="6F43BD68" w14:textId="77777777" w:rsidR="00EC34F9" w:rsidRDefault="00EC34F9" w:rsidP="00EC34F9">
      <w:pPr>
        <w:pStyle w:val="textregular"/>
        <w:numPr>
          <w:ilvl w:val="0"/>
          <w:numId w:val="34"/>
        </w:numPr>
        <w:spacing w:line="276" w:lineRule="auto"/>
        <w:rPr>
          <w:lang w:val="en-US"/>
        </w:rPr>
      </w:pPr>
      <w:r w:rsidRPr="00B178F3">
        <w:rPr>
          <w:lang w:val="en-US"/>
        </w:rPr>
        <w:t xml:space="preserve">‘Balancing capacity cooperation’ means </w:t>
      </w:r>
      <w:r>
        <w:rPr>
          <w:lang w:val="en-US"/>
        </w:rPr>
        <w:t xml:space="preserve">at least </w:t>
      </w:r>
      <w:r w:rsidRPr="00B178F3">
        <w:rPr>
          <w:lang w:val="en-US"/>
        </w:rPr>
        <w:t xml:space="preserve">two TSOs that apply the exchange of balancing capacity or sharing of reserves in a geographical area </w:t>
      </w:r>
      <w:r>
        <w:rPr>
          <w:lang w:val="en-US"/>
        </w:rPr>
        <w:t>separated</w:t>
      </w:r>
      <w:r w:rsidRPr="00B178F3">
        <w:rPr>
          <w:lang w:val="en-US"/>
        </w:rPr>
        <w:t xml:space="preserve"> </w:t>
      </w:r>
      <w:r>
        <w:rPr>
          <w:lang w:val="en-US"/>
        </w:rPr>
        <w:t>by</w:t>
      </w:r>
      <w:r w:rsidRPr="00B178F3">
        <w:rPr>
          <w:lang w:val="en-US"/>
        </w:rPr>
        <w:t xml:space="preserve"> </w:t>
      </w:r>
      <w:r>
        <w:rPr>
          <w:lang w:val="en-US"/>
        </w:rPr>
        <w:t>a bidding zone border</w:t>
      </w:r>
      <w:r w:rsidRPr="00B178F3">
        <w:rPr>
          <w:lang w:val="en-US"/>
        </w:rPr>
        <w:t>.</w:t>
      </w:r>
    </w:p>
    <w:p w14:paraId="3408BE5E" w14:textId="7549B0F5" w:rsidR="00EC34F9" w:rsidRPr="00B178F3" w:rsidRDefault="00B178F3" w:rsidP="00EC34F9">
      <w:pPr>
        <w:pStyle w:val="textregular"/>
        <w:numPr>
          <w:ilvl w:val="0"/>
          <w:numId w:val="34"/>
        </w:numPr>
        <w:spacing w:line="276" w:lineRule="auto"/>
        <w:rPr>
          <w:lang w:val="en-US"/>
        </w:rPr>
      </w:pPr>
      <w:r w:rsidRPr="00B178F3">
        <w:rPr>
          <w:lang w:val="en-US"/>
        </w:rPr>
        <w:t xml:space="preserve">‘Cross-zonal capacity allocation optimisation function’ means the algorithm applied for the allocation of CZC for the exchange of balancing capacity or sharing of reserves </w:t>
      </w:r>
      <w:r w:rsidR="000607EF">
        <w:rPr>
          <w:lang w:val="en-US"/>
        </w:rPr>
        <w:t>of each</w:t>
      </w:r>
      <w:r w:rsidRPr="00B178F3">
        <w:rPr>
          <w:lang w:val="en-US"/>
        </w:rPr>
        <w:t xml:space="preserve"> </w:t>
      </w:r>
      <w:r w:rsidR="00EC34F9">
        <w:rPr>
          <w:lang w:val="en-US"/>
        </w:rPr>
        <w:t>BCC</w:t>
      </w:r>
      <w:r w:rsidRPr="00B178F3">
        <w:rPr>
          <w:lang w:val="en-US"/>
        </w:rPr>
        <w:t xml:space="preserve"> in which balancing capacity is exchanged or reserves are shared. </w:t>
      </w:r>
    </w:p>
    <w:p w14:paraId="067D626D" w14:textId="77777777" w:rsidR="00F5327A" w:rsidRPr="00B178F3" w:rsidRDefault="00F5327A" w:rsidP="00F5327A">
      <w:pPr>
        <w:pStyle w:val="textregular"/>
        <w:numPr>
          <w:ilvl w:val="0"/>
          <w:numId w:val="34"/>
        </w:numPr>
        <w:spacing w:line="276" w:lineRule="auto"/>
        <w:rPr>
          <w:lang w:val="en-US"/>
        </w:rPr>
      </w:pPr>
      <w:r w:rsidRPr="00B178F3">
        <w:rPr>
          <w:lang w:val="en-US"/>
        </w:rPr>
        <w:t>‘Market value of cross</w:t>
      </w:r>
      <w:r>
        <w:rPr>
          <w:lang w:val="en-US"/>
        </w:rPr>
        <w:t>-</w:t>
      </w:r>
      <w:r w:rsidRPr="00B178F3">
        <w:rPr>
          <w:lang w:val="en-US"/>
        </w:rPr>
        <w:t xml:space="preserve">zonal capacity for the exchange of balancing capacity or sharing of reserves’ means the change in the economic surplus of the balancing capacity market (the sum of </w:t>
      </w:r>
      <w:r>
        <w:rPr>
          <w:lang w:val="en-US"/>
        </w:rPr>
        <w:t>buyer</w:t>
      </w:r>
      <w:r w:rsidRPr="00B178F3">
        <w:rPr>
          <w:lang w:val="en-US"/>
        </w:rPr>
        <w:t xml:space="preserve"> surplus and if applicable </w:t>
      </w:r>
      <w:r>
        <w:rPr>
          <w:lang w:val="en-US"/>
        </w:rPr>
        <w:t>sell</w:t>
      </w:r>
      <w:r w:rsidRPr="00B178F3">
        <w:rPr>
          <w:lang w:val="en-US"/>
        </w:rPr>
        <w:t xml:space="preserve">er surplus and congestion income) resulting from the incremental increase of the CZC allocated for the exchange of balancing capacity or sharing of reserves. </w:t>
      </w:r>
    </w:p>
    <w:p w14:paraId="5ABB5AA8" w14:textId="0BC3A152" w:rsidR="00EC34F9" w:rsidRPr="00B178F3" w:rsidRDefault="00EC34F9" w:rsidP="00F5327A">
      <w:pPr>
        <w:pStyle w:val="textregular"/>
        <w:numPr>
          <w:ilvl w:val="0"/>
          <w:numId w:val="34"/>
        </w:numPr>
        <w:spacing w:line="276" w:lineRule="auto"/>
        <w:rPr>
          <w:lang w:val="en-US"/>
        </w:rPr>
      </w:pPr>
      <w:r w:rsidRPr="00B178F3">
        <w:rPr>
          <w:lang w:val="en-US"/>
        </w:rPr>
        <w:t>‘Market value of cross</w:t>
      </w:r>
      <w:r>
        <w:rPr>
          <w:lang w:val="en-US"/>
        </w:rPr>
        <w:t>-</w:t>
      </w:r>
      <w:r w:rsidRPr="00B178F3">
        <w:rPr>
          <w:lang w:val="en-US"/>
        </w:rPr>
        <w:t xml:space="preserve">zonal capacity for the exchange of energy in SDAC’ means the change in the economic surplus of the SDAC (the sum of the producer surplus, consumer surplus and congestion income) resulting from the incremental increase of the CZC allocated for the exchange of energy. </w:t>
      </w:r>
    </w:p>
    <w:p w14:paraId="3852A554" w14:textId="76D60A96" w:rsidR="00EC34F9" w:rsidRDefault="00EC34F9" w:rsidP="00647B80">
      <w:pPr>
        <w:pStyle w:val="textregular"/>
        <w:numPr>
          <w:ilvl w:val="0"/>
          <w:numId w:val="34"/>
        </w:numPr>
        <w:spacing w:line="276" w:lineRule="auto"/>
        <w:rPr>
          <w:lang w:val="en-US"/>
        </w:rPr>
      </w:pPr>
      <w:r w:rsidRPr="00B178F3">
        <w:rPr>
          <w:lang w:val="en-US"/>
        </w:rPr>
        <w:t>‘Release of cross</w:t>
      </w:r>
      <w:r>
        <w:rPr>
          <w:lang w:val="en-US"/>
        </w:rPr>
        <w:t>-</w:t>
      </w:r>
      <w:r w:rsidRPr="00B178F3">
        <w:rPr>
          <w:lang w:val="en-US"/>
        </w:rPr>
        <w:t>zonal capacity</w:t>
      </w:r>
      <w:r>
        <w:rPr>
          <w:lang w:val="en-US"/>
        </w:rPr>
        <w:t xml:space="preserve"> for the exchange of balancing capacity or sharing of reserves</w:t>
      </w:r>
      <w:r w:rsidRPr="00B178F3">
        <w:rPr>
          <w:lang w:val="en-US"/>
        </w:rPr>
        <w:t xml:space="preserve">’ means CZC allocated for the exchange of balancing capacity or sharing of reserves that is no longer needed and is released as soon as possible and returned in the subsequent capacity allocation timeframes. </w:t>
      </w:r>
    </w:p>
    <w:p w14:paraId="235504AE" w14:textId="62DC1BF7" w:rsidR="00B178F3" w:rsidRPr="00B178F3" w:rsidRDefault="004B1443" w:rsidP="00F5327A">
      <w:pPr>
        <w:pStyle w:val="textregular"/>
        <w:numPr>
          <w:ilvl w:val="0"/>
          <w:numId w:val="34"/>
        </w:numPr>
        <w:spacing w:line="276" w:lineRule="auto"/>
        <w:rPr>
          <w:lang w:val="en-US"/>
        </w:rPr>
      </w:pPr>
      <w:r w:rsidRPr="00B178F3">
        <w:rPr>
          <w:lang w:val="en-US"/>
        </w:rPr>
        <w:t>‘Use of cross</w:t>
      </w:r>
      <w:r w:rsidR="001D7785">
        <w:rPr>
          <w:lang w:val="en-US"/>
        </w:rPr>
        <w:t>-</w:t>
      </w:r>
      <w:r w:rsidRPr="00B178F3">
        <w:rPr>
          <w:lang w:val="en-US"/>
        </w:rPr>
        <w:t>zonal capacity</w:t>
      </w:r>
      <w:r>
        <w:rPr>
          <w:lang w:val="en-US"/>
        </w:rPr>
        <w:t xml:space="preserve"> for the exchange of balancing capacity or sharing of reserves</w:t>
      </w:r>
      <w:r w:rsidRPr="00B178F3">
        <w:rPr>
          <w:lang w:val="en-US"/>
        </w:rPr>
        <w:t>’ means allocated CZC used for the exchange of balancing capacity or sharing of reserves, either for the exchange of balancing capacity in terms of dimensioning and compliance or for physical use of CZC for the actual transfer of balancing energy.</w:t>
      </w:r>
    </w:p>
    <w:p w14:paraId="6AEEF303" w14:textId="53E4C235" w:rsidR="00CB6A98" w:rsidRPr="00960FC3" w:rsidRDefault="00CB6A98" w:rsidP="00647B80">
      <w:pPr>
        <w:pStyle w:val="textregular"/>
        <w:numPr>
          <w:ilvl w:val="0"/>
          <w:numId w:val="11"/>
        </w:numPr>
        <w:spacing w:line="276" w:lineRule="auto"/>
        <w:ind w:hanging="357"/>
        <w:rPr>
          <w:lang w:val="en-US"/>
        </w:rPr>
      </w:pPr>
      <w:r w:rsidRPr="00960FC3">
        <w:rPr>
          <w:lang w:val="en-US"/>
        </w:rPr>
        <w:t xml:space="preserve">In this </w:t>
      </w:r>
      <w:r w:rsidR="00193ECF">
        <w:rPr>
          <w:lang w:val="en-US"/>
        </w:rPr>
        <w:t xml:space="preserve">EE CZCA </w:t>
      </w:r>
      <w:r w:rsidR="008718E9">
        <w:rPr>
          <w:lang w:val="en-US"/>
        </w:rPr>
        <w:t>methodology</w:t>
      </w:r>
      <w:r w:rsidRPr="00960FC3">
        <w:rPr>
          <w:lang w:val="en-US"/>
        </w:rPr>
        <w:t>, unless the context requires otherwise:</w:t>
      </w:r>
    </w:p>
    <w:p w14:paraId="6BEDB3B2" w14:textId="77777777" w:rsidR="00CB6A98" w:rsidRPr="00960FC3" w:rsidRDefault="00CB6A98" w:rsidP="00647B80">
      <w:pPr>
        <w:pStyle w:val="textregular"/>
        <w:numPr>
          <w:ilvl w:val="1"/>
          <w:numId w:val="11"/>
        </w:numPr>
        <w:spacing w:line="276" w:lineRule="auto"/>
        <w:ind w:hanging="357"/>
        <w:rPr>
          <w:lang w:val="en-US"/>
        </w:rPr>
      </w:pPr>
      <w:r w:rsidRPr="00960FC3">
        <w:rPr>
          <w:lang w:val="en-US"/>
        </w:rPr>
        <w:t>the singular indicates the plural and vice versa;</w:t>
      </w:r>
    </w:p>
    <w:p w14:paraId="1913AC60" w14:textId="09FB5B46" w:rsidR="00CB6A98" w:rsidRPr="00960FC3" w:rsidRDefault="00CB6A98" w:rsidP="00647B80">
      <w:pPr>
        <w:pStyle w:val="textregular"/>
        <w:numPr>
          <w:ilvl w:val="1"/>
          <w:numId w:val="11"/>
        </w:numPr>
        <w:spacing w:line="276" w:lineRule="auto"/>
        <w:ind w:hanging="357"/>
        <w:rPr>
          <w:lang w:val="en-US"/>
        </w:rPr>
      </w:pPr>
      <w:r w:rsidRPr="00960FC3">
        <w:rPr>
          <w:lang w:val="en-US"/>
        </w:rPr>
        <w:t xml:space="preserve">the table of contents and headings are inserted for convenience only and do not affect the interpretation of this </w:t>
      </w:r>
      <w:r w:rsidR="00193ECF">
        <w:rPr>
          <w:lang w:val="en-US"/>
        </w:rPr>
        <w:t xml:space="preserve">EE CZCA </w:t>
      </w:r>
      <w:r w:rsidR="008718E9">
        <w:rPr>
          <w:lang w:val="en-US"/>
        </w:rPr>
        <w:t>methodology</w:t>
      </w:r>
      <w:r w:rsidRPr="00960FC3">
        <w:rPr>
          <w:lang w:val="en-US"/>
        </w:rPr>
        <w:t>;</w:t>
      </w:r>
    </w:p>
    <w:p w14:paraId="22C8AA54" w14:textId="77777777" w:rsidR="00CB6A98" w:rsidRPr="00960FC3" w:rsidRDefault="00CB6A98" w:rsidP="00647B80">
      <w:pPr>
        <w:pStyle w:val="textregular"/>
        <w:numPr>
          <w:ilvl w:val="1"/>
          <w:numId w:val="11"/>
        </w:numPr>
        <w:spacing w:line="276" w:lineRule="auto"/>
        <w:ind w:hanging="357"/>
        <w:rPr>
          <w:lang w:val="en-US"/>
        </w:rPr>
      </w:pPr>
      <w:r w:rsidRPr="00960FC3">
        <w:rPr>
          <w:lang w:val="en-US"/>
        </w:rPr>
        <w:t>any reference to legislation, regulations, directives, orders, instruments, codes or any other enactment shall include any modification, extension or re-enactment of it when in force;</w:t>
      </w:r>
    </w:p>
    <w:p w14:paraId="7EEE1F7F" w14:textId="0AE9551D" w:rsidR="00CB6A98" w:rsidRDefault="00CB6A98" w:rsidP="00647B80">
      <w:pPr>
        <w:pStyle w:val="textregular"/>
        <w:numPr>
          <w:ilvl w:val="1"/>
          <w:numId w:val="11"/>
        </w:numPr>
        <w:spacing w:line="276" w:lineRule="auto"/>
        <w:rPr>
          <w:lang w:val="en-US"/>
        </w:rPr>
      </w:pPr>
      <w:r w:rsidRPr="00960FC3">
        <w:rPr>
          <w:lang w:val="en-US"/>
        </w:rPr>
        <w:t xml:space="preserve">any reference to an Article without an indication of the document shall mean a reference to this </w:t>
      </w:r>
      <w:r w:rsidR="00193ECF">
        <w:rPr>
          <w:lang w:val="en-US"/>
        </w:rPr>
        <w:t xml:space="preserve">EE CZCA </w:t>
      </w:r>
      <w:r w:rsidR="008718E9">
        <w:rPr>
          <w:lang w:val="en-US"/>
        </w:rPr>
        <w:t>methodology</w:t>
      </w:r>
      <w:r w:rsidRPr="00960FC3">
        <w:rPr>
          <w:lang w:val="en-US"/>
        </w:rPr>
        <w:t>.</w:t>
      </w:r>
    </w:p>
    <w:p w14:paraId="664A6FB9" w14:textId="77777777" w:rsidR="004B1443" w:rsidRPr="00CB6A98" w:rsidRDefault="004B1443" w:rsidP="004B1443">
      <w:pPr>
        <w:pStyle w:val="textregular"/>
        <w:spacing w:line="276" w:lineRule="auto"/>
        <w:rPr>
          <w:lang w:val="en-US"/>
        </w:rPr>
      </w:pPr>
    </w:p>
    <w:p w14:paraId="1DAA7A16" w14:textId="3472F45B" w:rsidR="008A74B3" w:rsidRDefault="008A74B3" w:rsidP="00F45213">
      <w:pPr>
        <w:pStyle w:val="headline1"/>
      </w:pPr>
      <w:bookmarkStart w:id="16" w:name="_Toc2579729"/>
      <w:bookmarkStart w:id="17" w:name="_Toc19192527"/>
      <w:r>
        <w:t xml:space="preserve">Principles </w:t>
      </w:r>
      <w:r w:rsidR="001D7785">
        <w:t xml:space="preserve">for each </w:t>
      </w:r>
      <w:r>
        <w:t>balancing capacity cooperation</w:t>
      </w:r>
      <w:bookmarkEnd w:id="16"/>
      <w:r>
        <w:t xml:space="preserve"> </w:t>
      </w:r>
      <w:r w:rsidR="001D7785">
        <w:t>with</w:t>
      </w:r>
      <w:r w:rsidR="009B41E5">
        <w:t>in</w:t>
      </w:r>
      <w:r w:rsidR="001D7785">
        <w:t xml:space="preserve"> the CCR Core</w:t>
      </w:r>
      <w:bookmarkEnd w:id="17"/>
    </w:p>
    <w:p w14:paraId="1355583C" w14:textId="22F67576" w:rsidR="004B1443" w:rsidRDefault="004B1443" w:rsidP="00647B80">
      <w:pPr>
        <w:pStyle w:val="textregular"/>
        <w:numPr>
          <w:ilvl w:val="0"/>
          <w:numId w:val="19"/>
        </w:numPr>
        <w:spacing w:line="276" w:lineRule="auto"/>
        <w:ind w:left="357" w:hanging="357"/>
      </w:pPr>
      <w:r>
        <w:t xml:space="preserve">The </w:t>
      </w:r>
      <w:r w:rsidR="001D7785">
        <w:t xml:space="preserve">Core </w:t>
      </w:r>
      <w:r>
        <w:t xml:space="preserve">TSOs that want to establish a </w:t>
      </w:r>
      <w:r w:rsidR="00EC34F9">
        <w:t>BCC</w:t>
      </w:r>
      <w:r>
        <w:t xml:space="preserve">, shall share with Core TSOs the </w:t>
      </w:r>
      <w:r w:rsidR="001D7785">
        <w:t xml:space="preserve">cost-benefit </w:t>
      </w:r>
      <w:r>
        <w:t xml:space="preserve">analysis of such a </w:t>
      </w:r>
      <w:r w:rsidR="00EC34F9">
        <w:t>BCC</w:t>
      </w:r>
      <w:r>
        <w:t>.</w:t>
      </w:r>
    </w:p>
    <w:p w14:paraId="2F8D286F" w14:textId="6E47A38B" w:rsidR="00CB6A98" w:rsidRDefault="00CB6A98" w:rsidP="00647B80">
      <w:pPr>
        <w:pStyle w:val="textregular"/>
        <w:numPr>
          <w:ilvl w:val="0"/>
          <w:numId w:val="19"/>
        </w:numPr>
        <w:spacing w:line="276" w:lineRule="auto"/>
        <w:ind w:left="357" w:hanging="357"/>
      </w:pPr>
      <w:r>
        <w:t xml:space="preserve">Each </w:t>
      </w:r>
      <w:r w:rsidR="00EC34F9">
        <w:t>BCC</w:t>
      </w:r>
      <w:r>
        <w:t xml:space="preserve"> applying this </w:t>
      </w:r>
      <w:r w:rsidR="00193ECF">
        <w:t xml:space="preserve">EE CZCA </w:t>
      </w:r>
      <w:r w:rsidR="008718E9">
        <w:t>methodology</w:t>
      </w:r>
      <w:r>
        <w:t xml:space="preserve"> shall use standard balancing capacity products pursuant to </w:t>
      </w:r>
      <w:r w:rsidR="00735F4C">
        <w:t>article</w:t>
      </w:r>
      <w:r>
        <w:t> 25(2) of the EBGL.</w:t>
      </w:r>
    </w:p>
    <w:p w14:paraId="5554EC2F" w14:textId="28F52C1E" w:rsidR="00CB6A98" w:rsidRDefault="00CB6A98" w:rsidP="00647B80">
      <w:pPr>
        <w:pStyle w:val="textregular"/>
        <w:numPr>
          <w:ilvl w:val="0"/>
          <w:numId w:val="19"/>
        </w:numPr>
        <w:spacing w:line="276" w:lineRule="auto"/>
        <w:ind w:left="357" w:hanging="357"/>
      </w:pPr>
      <w:r>
        <w:t xml:space="preserve">Each </w:t>
      </w:r>
      <w:r w:rsidR="00EC34F9">
        <w:t>BCC</w:t>
      </w:r>
      <w:r>
        <w:t xml:space="preserve"> applying this </w:t>
      </w:r>
      <w:r w:rsidR="00193ECF">
        <w:t xml:space="preserve">EE CZCA </w:t>
      </w:r>
      <w:r w:rsidR="008718E9">
        <w:t>methodology</w:t>
      </w:r>
      <w:r>
        <w:t xml:space="preserve"> shall use separate </w:t>
      </w:r>
      <w:r w:rsidR="006F20BA">
        <w:t xml:space="preserve">standard </w:t>
      </w:r>
      <w:r>
        <w:t xml:space="preserve">upward and downward balancing capacity products pursuant to </w:t>
      </w:r>
      <w:r w:rsidR="00735F4C">
        <w:t>article</w:t>
      </w:r>
      <w:r>
        <w:t> 32(3) of the EBGL.</w:t>
      </w:r>
    </w:p>
    <w:p w14:paraId="7294897D" w14:textId="2580D5FD" w:rsidR="004B1443" w:rsidRDefault="006F20BA" w:rsidP="004B1443">
      <w:pPr>
        <w:pStyle w:val="textregular"/>
        <w:numPr>
          <w:ilvl w:val="0"/>
          <w:numId w:val="19"/>
        </w:numPr>
        <w:spacing w:line="276" w:lineRule="auto"/>
        <w:ind w:left="357" w:hanging="357"/>
      </w:pPr>
      <w:r>
        <w:t xml:space="preserve">TSOs of a </w:t>
      </w:r>
      <w:r w:rsidR="00EC34F9">
        <w:t>BCC</w:t>
      </w:r>
      <w:r w:rsidR="004B1443" w:rsidRPr="00B872C0">
        <w:t xml:space="preserve"> </w:t>
      </w:r>
      <w:r>
        <w:t>can apply to their</w:t>
      </w:r>
      <w:r w:rsidR="004B1443">
        <w:t xml:space="preserve"> relevant NRAs </w:t>
      </w:r>
      <w:r>
        <w:t xml:space="preserve">for </w:t>
      </w:r>
      <w:r w:rsidR="004B1443">
        <w:t xml:space="preserve">an exemption to separate procurement of upward and downward balancing capacity pursuant to </w:t>
      </w:r>
      <w:r w:rsidR="00735F4C">
        <w:t>article</w:t>
      </w:r>
      <w:r w:rsidR="004B1443">
        <w:t> 5(4)(f) of the EBGL.</w:t>
      </w:r>
    </w:p>
    <w:p w14:paraId="476B81D0" w14:textId="4381E167" w:rsidR="004B1443" w:rsidRDefault="006F20BA" w:rsidP="004B1443">
      <w:pPr>
        <w:pStyle w:val="textregular"/>
        <w:numPr>
          <w:ilvl w:val="0"/>
          <w:numId w:val="19"/>
        </w:numPr>
        <w:spacing w:line="276" w:lineRule="auto"/>
        <w:ind w:left="357" w:hanging="357"/>
      </w:pPr>
      <w:r>
        <w:t xml:space="preserve">Irrespective of </w:t>
      </w:r>
      <w:r w:rsidR="004B1443">
        <w:t>an exemption</w:t>
      </w:r>
      <w:r>
        <w:t>,</w:t>
      </w:r>
      <w:r w:rsidR="004B1443">
        <w:t xml:space="preserve"> the CZCA optimisation function will allocate CZC for the exchange of balancing capacity or sharing of reserves for each direction (upward for downward bids) separately. </w:t>
      </w:r>
    </w:p>
    <w:p w14:paraId="5D72E140" w14:textId="038B712A" w:rsidR="00D20C8E" w:rsidRDefault="00D20C8E" w:rsidP="0077114C">
      <w:pPr>
        <w:pStyle w:val="textregular"/>
        <w:spacing w:line="276" w:lineRule="auto"/>
        <w:ind w:left="357"/>
      </w:pPr>
    </w:p>
    <w:p w14:paraId="1B382BD8" w14:textId="3DA70316" w:rsidR="00D20C8E" w:rsidRDefault="004B1443" w:rsidP="00647B80">
      <w:pPr>
        <w:pStyle w:val="textregular"/>
        <w:numPr>
          <w:ilvl w:val="0"/>
          <w:numId w:val="19"/>
        </w:numPr>
        <w:spacing w:line="276" w:lineRule="auto"/>
        <w:ind w:left="357" w:hanging="357"/>
      </w:pPr>
      <w:r>
        <w:t>For</w:t>
      </w:r>
      <w:r w:rsidRPr="00B872C0">
        <w:t xml:space="preserve"> each </w:t>
      </w:r>
      <w:r w:rsidR="00EC34F9">
        <w:t>BCC</w:t>
      </w:r>
      <w:r>
        <w:t xml:space="preserve"> within the CCR Core </w:t>
      </w:r>
      <w:r w:rsidR="006F20BA">
        <w:t>applying</w:t>
      </w:r>
      <w:r>
        <w:t xml:space="preserve"> this </w:t>
      </w:r>
      <w:r w:rsidR="00E469AE">
        <w:t>EE</w:t>
      </w:r>
      <w:r>
        <w:t xml:space="preserve"> CZCA </w:t>
      </w:r>
      <w:r w:rsidR="008718E9">
        <w:t>methodology</w:t>
      </w:r>
      <w:r>
        <w:t>, t</w:t>
      </w:r>
      <w:r w:rsidR="00D20C8E">
        <w:t xml:space="preserve">he minimum contracting period of balancing capacity bids shall be a multiple of the day-ahead </w:t>
      </w:r>
      <w:r w:rsidR="006F20BA">
        <w:t>MTU</w:t>
      </w:r>
      <w:r w:rsidR="00D20C8E">
        <w:t xml:space="preserve"> and have a contracting period of </w:t>
      </w:r>
      <w:r w:rsidR="00520D11">
        <w:t xml:space="preserve">more than 1 </w:t>
      </w:r>
      <w:r w:rsidR="006F20BA">
        <w:t xml:space="preserve">(one) </w:t>
      </w:r>
      <w:r w:rsidR="00520D11">
        <w:t>day.</w:t>
      </w:r>
      <w:r w:rsidR="00CC455D">
        <w:t xml:space="preserve"> The maximum contracting period shall not exceed the time between the balancing capacity auction and the actual provision of the balancing capacity.</w:t>
      </w:r>
    </w:p>
    <w:p w14:paraId="54F6BDE8" w14:textId="56546BFA" w:rsidR="00D20C8E" w:rsidRDefault="004B1443" w:rsidP="00647B80">
      <w:pPr>
        <w:pStyle w:val="textregular"/>
        <w:numPr>
          <w:ilvl w:val="0"/>
          <w:numId w:val="19"/>
        </w:numPr>
        <w:spacing w:line="276" w:lineRule="auto"/>
        <w:ind w:left="357" w:hanging="357"/>
      </w:pPr>
      <w:r>
        <w:t>For</w:t>
      </w:r>
      <w:r w:rsidRPr="00B872C0">
        <w:t xml:space="preserve"> each </w:t>
      </w:r>
      <w:r w:rsidR="00EC34F9">
        <w:t>BCC</w:t>
      </w:r>
      <w:r>
        <w:t xml:space="preserve"> </w:t>
      </w:r>
      <w:r w:rsidR="006F20BA">
        <w:t>of</w:t>
      </w:r>
      <w:r>
        <w:t xml:space="preserve"> the CCR Core </w:t>
      </w:r>
      <w:r w:rsidR="006F20BA">
        <w:t xml:space="preserve">applying </w:t>
      </w:r>
      <w:r>
        <w:t xml:space="preserve">this </w:t>
      </w:r>
      <w:r w:rsidR="00E469AE">
        <w:t>EE</w:t>
      </w:r>
      <w:r>
        <w:t xml:space="preserve"> CZCA </w:t>
      </w:r>
      <w:r w:rsidR="008718E9">
        <w:t>methodology</w:t>
      </w:r>
      <w:r>
        <w:t>, t</w:t>
      </w:r>
      <w:r w:rsidR="00D20C8E">
        <w:t xml:space="preserve">he minimum validity period of balancing capacity bids shall be equal or a multiple of the day-ahead </w:t>
      </w:r>
      <w:r w:rsidR="006F20BA">
        <w:t>MTU</w:t>
      </w:r>
      <w:r w:rsidR="00520D11">
        <w:t>.</w:t>
      </w:r>
      <w:r w:rsidR="009E22FD">
        <w:t xml:space="preserve"> The maximum balancing capacity validity period shall not exceed the contracting period of the procurement of balancing capacity.</w:t>
      </w:r>
    </w:p>
    <w:p w14:paraId="4873B819" w14:textId="2110C29F" w:rsidR="00D20C8E" w:rsidRDefault="004B1443" w:rsidP="00A31B91">
      <w:pPr>
        <w:pStyle w:val="textregular"/>
        <w:numPr>
          <w:ilvl w:val="0"/>
          <w:numId w:val="19"/>
        </w:numPr>
        <w:spacing w:line="276" w:lineRule="auto"/>
        <w:ind w:left="357" w:hanging="357"/>
      </w:pPr>
      <w:r>
        <w:t>For</w:t>
      </w:r>
      <w:r w:rsidRPr="00B872C0">
        <w:t xml:space="preserve"> each </w:t>
      </w:r>
      <w:r w:rsidR="00EC34F9">
        <w:t>BCC</w:t>
      </w:r>
      <w:r>
        <w:t xml:space="preserve"> </w:t>
      </w:r>
      <w:r w:rsidR="006F20BA">
        <w:t>applying</w:t>
      </w:r>
      <w:r>
        <w:t xml:space="preserve"> this </w:t>
      </w:r>
      <w:r w:rsidR="00E469AE">
        <w:t>EE</w:t>
      </w:r>
      <w:r>
        <w:t xml:space="preserve"> CZCA </w:t>
      </w:r>
      <w:r w:rsidR="008718E9">
        <w:t>methodology</w:t>
      </w:r>
      <w:r>
        <w:t>, t</w:t>
      </w:r>
      <w:r w:rsidR="0043230E">
        <w:t>he TSO-BSP pricing rules shall be</w:t>
      </w:r>
      <w:r w:rsidR="006F20BA">
        <w:t xml:space="preserve"> </w:t>
      </w:r>
      <w:r w:rsidR="00D20C8E">
        <w:t xml:space="preserve">harmonised within each </w:t>
      </w:r>
      <w:r w:rsidR="00EC34F9">
        <w:t>BCC</w:t>
      </w:r>
      <w:r w:rsidR="00D20C8E">
        <w:t>.</w:t>
      </w:r>
      <w:r w:rsidR="0077114C">
        <w:t xml:space="preserve"> In case of a Core TSO applying a central dispatching model, the TSO-BSP pricing rules of standard balancing capacity products procured within a BCC are defined by the Core TSO in the terms and conditions related to BSPs and shall include conversion rules of integrated scheduling process bids into standard balancing capacity products defined pursuant to article 27 of the EBGL.</w:t>
      </w:r>
    </w:p>
    <w:p w14:paraId="5C6E6E58" w14:textId="6928A913" w:rsidR="00F160C5" w:rsidRPr="00F160C5" w:rsidRDefault="00F160C5" w:rsidP="00F160C5">
      <w:pPr>
        <w:pStyle w:val="textregular"/>
        <w:numPr>
          <w:ilvl w:val="0"/>
          <w:numId w:val="19"/>
        </w:numPr>
        <w:spacing w:line="276" w:lineRule="auto"/>
        <w:ind w:left="357" w:hanging="357"/>
      </w:pPr>
      <w:r>
        <w:t xml:space="preserve">The </w:t>
      </w:r>
      <w:r w:rsidR="002918A0">
        <w:t xml:space="preserve">Core </w:t>
      </w:r>
      <w:r>
        <w:t xml:space="preserve">TSOs shall regularly assess whether the CZC allocated </w:t>
      </w:r>
      <w:r w:rsidRPr="007C4A42">
        <w:rPr>
          <w:lang w:val="en-US"/>
        </w:rPr>
        <w:t xml:space="preserve">for the exchange of balancing </w:t>
      </w:r>
      <w:r>
        <w:rPr>
          <w:lang w:val="en-US"/>
        </w:rPr>
        <w:t>capacity</w:t>
      </w:r>
      <w:r w:rsidRPr="007C4A42">
        <w:rPr>
          <w:lang w:val="en-US"/>
        </w:rPr>
        <w:t xml:space="preserve"> or sharing of reserves</w:t>
      </w:r>
      <w:r>
        <w:rPr>
          <w:lang w:val="en-US"/>
        </w:rPr>
        <w:t xml:space="preserve"> is still needed for that purpose. If subsequent assessments show that CZC </w:t>
      </w:r>
      <w:r>
        <w:t xml:space="preserve">allocated </w:t>
      </w:r>
      <w:r w:rsidRPr="007C4A42">
        <w:rPr>
          <w:lang w:val="en-US"/>
        </w:rPr>
        <w:t xml:space="preserve">for the exchange of balancing </w:t>
      </w:r>
      <w:r>
        <w:rPr>
          <w:lang w:val="en-US"/>
        </w:rPr>
        <w:t>capacity</w:t>
      </w:r>
      <w:r w:rsidRPr="007C4A42">
        <w:rPr>
          <w:lang w:val="en-US"/>
        </w:rPr>
        <w:t xml:space="preserve"> or sharing of reserves</w:t>
      </w:r>
      <w:r>
        <w:rPr>
          <w:lang w:val="en-US"/>
        </w:rPr>
        <w:t xml:space="preserve"> is no longer needed for that purpose, it shall be returned in subsequent capacity allocation timeframes.</w:t>
      </w:r>
    </w:p>
    <w:p w14:paraId="6393426E" w14:textId="2860A47D" w:rsidR="00F160C5" w:rsidRPr="006A64A8" w:rsidRDefault="004B1443" w:rsidP="00F160C5">
      <w:pPr>
        <w:pStyle w:val="textregular"/>
        <w:numPr>
          <w:ilvl w:val="0"/>
          <w:numId w:val="19"/>
        </w:numPr>
        <w:spacing w:line="276" w:lineRule="auto"/>
        <w:ind w:left="357" w:hanging="357"/>
      </w:pPr>
      <w:r>
        <w:rPr>
          <w:lang w:val="en-US"/>
        </w:rPr>
        <w:t>The CZC</w:t>
      </w:r>
      <w:r w:rsidRPr="007C4A42">
        <w:rPr>
          <w:lang w:val="en-US"/>
        </w:rPr>
        <w:t xml:space="preserve"> allocated for the exchange of balancing </w:t>
      </w:r>
      <w:r>
        <w:rPr>
          <w:lang w:val="en-US"/>
        </w:rPr>
        <w:t>capacity</w:t>
      </w:r>
      <w:r w:rsidRPr="007C4A42">
        <w:rPr>
          <w:lang w:val="en-US"/>
        </w:rPr>
        <w:t xml:space="preserve"> or sharing of reserves that has not</w:t>
      </w:r>
      <w:r>
        <w:rPr>
          <w:lang w:val="en-US"/>
        </w:rPr>
        <w:t xml:space="preserve"> been</w:t>
      </w:r>
      <w:r w:rsidRPr="007C4A42">
        <w:rPr>
          <w:lang w:val="en-US"/>
        </w:rPr>
        <w:t xml:space="preserve"> used for the associated exchange of balancing energy, shall be released for the exchange of balancing energy with shorter activation times or for operating the imbalance netting process</w:t>
      </w:r>
      <w:r>
        <w:rPr>
          <w:lang w:val="en-US"/>
        </w:rPr>
        <w:t xml:space="preserve"> pursuant to </w:t>
      </w:r>
      <w:r w:rsidR="00735F4C">
        <w:rPr>
          <w:lang w:val="en-US"/>
        </w:rPr>
        <w:t>article</w:t>
      </w:r>
      <w:r>
        <w:rPr>
          <w:lang w:val="en-US"/>
        </w:rPr>
        <w:t> 38(9) of the EBGL</w:t>
      </w:r>
      <w:r w:rsidR="00D20C8E" w:rsidRPr="007C4A42">
        <w:rPr>
          <w:lang w:val="en-US"/>
        </w:rPr>
        <w:t>.</w:t>
      </w:r>
    </w:p>
    <w:p w14:paraId="3E5C2006" w14:textId="6872B254" w:rsidR="006A64A8" w:rsidRPr="001B21B9" w:rsidRDefault="006A64A8" w:rsidP="00F160C5">
      <w:pPr>
        <w:pStyle w:val="textregular"/>
        <w:numPr>
          <w:ilvl w:val="0"/>
          <w:numId w:val="19"/>
        </w:numPr>
        <w:spacing w:line="276" w:lineRule="auto"/>
        <w:ind w:left="357" w:hanging="357"/>
      </w:pPr>
      <w:r w:rsidRPr="006A64A8">
        <w:t xml:space="preserve">Each </w:t>
      </w:r>
      <w:r w:rsidR="00EC34F9">
        <w:t>BCC</w:t>
      </w:r>
      <w:r w:rsidRPr="006A64A8">
        <w:t xml:space="preserve"> shall include fallback procedures and curtailment procedures on firmness regime of CZC in the implementation </w:t>
      </w:r>
      <w:r w:rsidR="004B1443">
        <w:t>methodology</w:t>
      </w:r>
      <w:r w:rsidR="004B1443" w:rsidRPr="006A64A8">
        <w:t xml:space="preserve"> </w:t>
      </w:r>
      <w:r w:rsidRPr="006A64A8">
        <w:t xml:space="preserve">of the </w:t>
      </w:r>
      <w:r w:rsidR="00EC34F9">
        <w:t>BCC</w:t>
      </w:r>
      <w:r w:rsidR="002918A0">
        <w:t xml:space="preserve"> according to article 38 of the EBGL</w:t>
      </w:r>
      <w:r w:rsidRPr="006A64A8">
        <w:t xml:space="preserve">, commonly agreed by all </w:t>
      </w:r>
      <w:r w:rsidR="002918A0">
        <w:t xml:space="preserve">Core </w:t>
      </w:r>
      <w:r w:rsidRPr="006A64A8">
        <w:t xml:space="preserve">TSOs of </w:t>
      </w:r>
      <w:r w:rsidR="004B1443">
        <w:t xml:space="preserve">the </w:t>
      </w:r>
      <w:r w:rsidRPr="006A64A8">
        <w:t>CCR Core.</w:t>
      </w:r>
    </w:p>
    <w:p w14:paraId="34585764" w14:textId="77777777" w:rsidR="001B21B9" w:rsidRDefault="001B21B9" w:rsidP="001B21B9">
      <w:pPr>
        <w:pStyle w:val="textregular"/>
        <w:spacing w:line="276" w:lineRule="auto"/>
        <w:ind w:left="357"/>
      </w:pPr>
    </w:p>
    <w:p w14:paraId="7247F80C" w14:textId="7432C9F4" w:rsidR="00271CCC" w:rsidRDefault="00D02AD6" w:rsidP="001F2299">
      <w:pPr>
        <w:pStyle w:val="headline1"/>
      </w:pPr>
      <w:bookmarkStart w:id="18" w:name="_Toc19192528"/>
      <w:r>
        <w:t>N</w:t>
      </w:r>
      <w:r w:rsidR="00271CCC" w:rsidRPr="00271CCC">
        <w:t xml:space="preserve">otification process for the use of the </w:t>
      </w:r>
      <w:r w:rsidR="001F2299">
        <w:t>allocation process based on economic efficiency analysis</w:t>
      </w:r>
      <w:bookmarkEnd w:id="18"/>
    </w:p>
    <w:p w14:paraId="0947FB61" w14:textId="1969A8C4" w:rsidR="002918A0" w:rsidRPr="000472A1" w:rsidRDefault="002918A0" w:rsidP="002918A0">
      <w:pPr>
        <w:pStyle w:val="textregular"/>
        <w:numPr>
          <w:ilvl w:val="0"/>
          <w:numId w:val="16"/>
        </w:numPr>
        <w:spacing w:line="276" w:lineRule="auto"/>
        <w:ind w:left="357" w:hanging="357"/>
        <w:rPr>
          <w:color w:val="000000" w:themeColor="text1"/>
        </w:rPr>
      </w:pPr>
      <w:r w:rsidRPr="003C60E4">
        <w:rPr>
          <w:color w:val="000000" w:themeColor="text1"/>
        </w:rPr>
        <w:t>In addition to the notification process as referenced to in Article 1.4</w:t>
      </w:r>
      <w:r>
        <w:rPr>
          <w:color w:val="000000" w:themeColor="text1"/>
        </w:rPr>
        <w:t xml:space="preserve"> of this methodology, all Core TSOs of each</w:t>
      </w:r>
      <w:r w:rsidRPr="003C60E4">
        <w:rPr>
          <w:color w:val="000000" w:themeColor="text1"/>
        </w:rPr>
        <w:t xml:space="preserve"> </w:t>
      </w:r>
      <w:r>
        <w:rPr>
          <w:color w:val="000000" w:themeColor="text1"/>
        </w:rPr>
        <w:t>BCC within the CCR Core applying</w:t>
      </w:r>
      <w:r w:rsidRPr="003C60E4">
        <w:rPr>
          <w:color w:val="000000" w:themeColor="text1"/>
        </w:rPr>
        <w:t xml:space="preserve"> this </w:t>
      </w:r>
      <w:r>
        <w:rPr>
          <w:color w:val="000000" w:themeColor="text1"/>
        </w:rPr>
        <w:t>EE</w:t>
      </w:r>
      <w:r w:rsidRPr="003C60E4">
        <w:rPr>
          <w:color w:val="000000" w:themeColor="text1"/>
        </w:rPr>
        <w:t xml:space="preserve"> CZCA </w:t>
      </w:r>
      <w:r>
        <w:rPr>
          <w:color w:val="000000" w:themeColor="text1"/>
        </w:rPr>
        <w:t>methodology</w:t>
      </w:r>
      <w:r w:rsidRPr="003C60E4">
        <w:rPr>
          <w:color w:val="000000" w:themeColor="text1"/>
        </w:rPr>
        <w:t xml:space="preserve"> shall inform the Core TSOs latest by </w:t>
      </w:r>
      <w:r>
        <w:rPr>
          <w:color w:val="000000" w:themeColor="text1"/>
        </w:rPr>
        <w:t xml:space="preserve">three </w:t>
      </w:r>
      <w:r w:rsidRPr="003C60E4">
        <w:rPr>
          <w:color w:val="000000" w:themeColor="text1"/>
        </w:rPr>
        <w:t>month</w:t>
      </w:r>
      <w:r>
        <w:rPr>
          <w:color w:val="000000" w:themeColor="text1"/>
        </w:rPr>
        <w:t>s</w:t>
      </w:r>
      <w:r w:rsidRPr="003C60E4">
        <w:rPr>
          <w:color w:val="000000" w:themeColor="text1"/>
        </w:rPr>
        <w:t xml:space="preserve"> ahead </w:t>
      </w:r>
      <w:r>
        <w:rPr>
          <w:color w:val="000000" w:themeColor="text1"/>
        </w:rPr>
        <w:t xml:space="preserve">of </w:t>
      </w:r>
      <w:r w:rsidRPr="003C60E4">
        <w:rPr>
          <w:color w:val="000000" w:themeColor="text1"/>
        </w:rPr>
        <w:t xml:space="preserve">the </w:t>
      </w:r>
      <w:r>
        <w:rPr>
          <w:color w:val="000000" w:themeColor="text1"/>
        </w:rPr>
        <w:t>application</w:t>
      </w:r>
      <w:r w:rsidRPr="003C60E4">
        <w:rPr>
          <w:color w:val="000000" w:themeColor="text1"/>
        </w:rPr>
        <w:t xml:space="preserve"> </w:t>
      </w:r>
      <w:r>
        <w:rPr>
          <w:color w:val="000000" w:themeColor="text1"/>
        </w:rPr>
        <w:t>of the EE</w:t>
      </w:r>
      <w:r w:rsidRPr="003C60E4">
        <w:rPr>
          <w:color w:val="000000" w:themeColor="text1"/>
        </w:rPr>
        <w:t xml:space="preserve"> CZCA </w:t>
      </w:r>
      <w:r>
        <w:rPr>
          <w:color w:val="000000" w:themeColor="text1"/>
        </w:rPr>
        <w:t>methodology</w:t>
      </w:r>
      <w:r w:rsidRPr="003C60E4">
        <w:rPr>
          <w:color w:val="000000" w:themeColor="text1"/>
        </w:rPr>
        <w:t xml:space="preserve"> forecast technique </w:t>
      </w:r>
      <w:r>
        <w:rPr>
          <w:color w:val="000000" w:themeColor="text1"/>
        </w:rPr>
        <w:t>consisting of the</w:t>
      </w:r>
      <w:r w:rsidRPr="003C60E4">
        <w:rPr>
          <w:color w:val="000000" w:themeColor="text1"/>
        </w:rPr>
        <w:t xml:space="preserve"> use of reference days and adjustment factors to determine the forecasted market value </w:t>
      </w:r>
      <w:r w:rsidRPr="000472A1">
        <w:rPr>
          <w:color w:val="000000" w:themeColor="text1"/>
        </w:rPr>
        <w:t xml:space="preserve">of CZC for the exchange of energy. Core TSOs may provide remarks not later than one month ahead of the application. The BCC TSOs shall take remarks by the Core TSOs properly into account. </w:t>
      </w:r>
    </w:p>
    <w:p w14:paraId="298379F4" w14:textId="13302526" w:rsidR="002918A0" w:rsidRPr="000472A1" w:rsidRDefault="002918A0" w:rsidP="002918A0">
      <w:pPr>
        <w:pStyle w:val="textregular"/>
        <w:numPr>
          <w:ilvl w:val="0"/>
          <w:numId w:val="16"/>
        </w:numPr>
        <w:spacing w:line="276" w:lineRule="auto"/>
        <w:ind w:left="357" w:hanging="357"/>
        <w:rPr>
          <w:color w:val="000000" w:themeColor="text1"/>
        </w:rPr>
      </w:pPr>
      <w:r w:rsidRPr="000472A1">
        <w:rPr>
          <w:color w:val="000000" w:themeColor="text1"/>
        </w:rPr>
        <w:t xml:space="preserve">Each </w:t>
      </w:r>
      <w:r w:rsidR="00EC34F9">
        <w:rPr>
          <w:color w:val="000000" w:themeColor="text1"/>
        </w:rPr>
        <w:t>BCC</w:t>
      </w:r>
      <w:r w:rsidRPr="000472A1">
        <w:rPr>
          <w:color w:val="000000" w:themeColor="text1"/>
        </w:rPr>
        <w:t xml:space="preserve"> of the CCR Core applying this EE CZCA methodology shall share the applied CZCA optimisation function with all Core TSOs.</w:t>
      </w:r>
    </w:p>
    <w:p w14:paraId="1559F670" w14:textId="78F7D15C" w:rsidR="0081123C" w:rsidRPr="000472A1" w:rsidRDefault="0081123C" w:rsidP="0081123C">
      <w:pPr>
        <w:pStyle w:val="ListParagraph"/>
        <w:numPr>
          <w:ilvl w:val="0"/>
          <w:numId w:val="16"/>
        </w:numPr>
        <w:rPr>
          <w:rFonts w:ascii="Times New Roman" w:eastAsia="Times New Roman" w:hAnsi="Times New Roman" w:cs="Times New Roman"/>
          <w:lang w:val="en-US" w:eastAsia="zh-CN"/>
        </w:rPr>
      </w:pPr>
      <w:r w:rsidRPr="000472A1">
        <w:rPr>
          <w:rFonts w:ascii="Times New Roman" w:eastAsia="Times New Roman" w:hAnsi="Times New Roman" w:cs="Times New Roman"/>
          <w:color w:val="000000"/>
          <w:lang w:val="en-US" w:eastAsia="zh-CN"/>
        </w:rPr>
        <w:t xml:space="preserve">Each </w:t>
      </w:r>
      <w:r w:rsidR="00EC34F9">
        <w:rPr>
          <w:rFonts w:ascii="Times New Roman" w:eastAsia="Times New Roman" w:hAnsi="Times New Roman" w:cs="Times New Roman"/>
          <w:color w:val="000000"/>
          <w:lang w:val="en-US" w:eastAsia="zh-CN"/>
        </w:rPr>
        <w:t>BCC</w:t>
      </w:r>
      <w:r w:rsidRPr="000472A1">
        <w:rPr>
          <w:rFonts w:ascii="Times New Roman" w:eastAsia="Times New Roman" w:hAnsi="Times New Roman" w:cs="Times New Roman"/>
          <w:color w:val="000000"/>
          <w:lang w:val="en-US" w:eastAsia="zh-CN"/>
        </w:rPr>
        <w:t xml:space="preserve"> applying the EE CZCA methodology shall inform all stakeholders and Core TSOs through an online announcement, at least 1 (one) month prior to entering into operation. This information will include a detailed description of the BCC specifications: the type of product for balancing capacity exchanged or shared, the bidding zone borders, the market timeframe, the duration of application or the allocation of CZC and time for entering into operation.</w:t>
      </w:r>
    </w:p>
    <w:p w14:paraId="18AA81C1" w14:textId="77777777" w:rsidR="0081123C" w:rsidRDefault="0081123C" w:rsidP="0081123C">
      <w:pPr>
        <w:pStyle w:val="textregular"/>
        <w:spacing w:line="276" w:lineRule="auto"/>
        <w:ind w:left="357"/>
        <w:rPr>
          <w:color w:val="000000" w:themeColor="text1"/>
        </w:rPr>
      </w:pPr>
    </w:p>
    <w:p w14:paraId="4F15A11B" w14:textId="77777777" w:rsidR="001B21B9" w:rsidRPr="00A179BD" w:rsidRDefault="001B21B9" w:rsidP="001B21B9">
      <w:pPr>
        <w:pStyle w:val="textregular"/>
        <w:spacing w:line="276" w:lineRule="auto"/>
        <w:ind w:left="357"/>
        <w:rPr>
          <w:color w:val="000000" w:themeColor="text1"/>
        </w:rPr>
      </w:pPr>
    </w:p>
    <w:p w14:paraId="789C3D7B" w14:textId="77777777" w:rsidR="00E20F29" w:rsidRPr="008B65E4" w:rsidRDefault="00E20F29" w:rsidP="008B65E4">
      <w:pPr>
        <w:pStyle w:val="textregular"/>
        <w:spacing w:line="276" w:lineRule="auto"/>
        <w:rPr>
          <w:color w:val="000000" w:themeColor="text1"/>
        </w:rPr>
      </w:pPr>
    </w:p>
    <w:p w14:paraId="51AFEDDF" w14:textId="749CCAC5" w:rsidR="00060437" w:rsidRDefault="00060437" w:rsidP="00060437">
      <w:pPr>
        <w:pStyle w:val="headline1"/>
      </w:pPr>
      <w:bookmarkStart w:id="19" w:name="_Toc19192529"/>
      <w:r>
        <w:t>Timeframe of the allocation process based on economic efficiency analysis</w:t>
      </w:r>
      <w:bookmarkEnd w:id="19"/>
    </w:p>
    <w:p w14:paraId="654564E4" w14:textId="6E3080B4" w:rsidR="00060437" w:rsidRDefault="00060437" w:rsidP="00060437">
      <w:pPr>
        <w:pStyle w:val="textregular"/>
        <w:numPr>
          <w:ilvl w:val="0"/>
          <w:numId w:val="21"/>
        </w:numPr>
        <w:spacing w:line="276" w:lineRule="auto"/>
      </w:pPr>
      <w:r w:rsidRPr="00474DEB">
        <w:rPr>
          <w:color w:val="000000" w:themeColor="text1"/>
        </w:rPr>
        <w:t>T</w:t>
      </w:r>
      <w:r>
        <w:t>he allocation process based on economic efficiency analysis to allocate CZC for the exchange of balancing capacity and sharing of reserves shall include the following consecutive timings</w:t>
      </w:r>
      <w:r w:rsidR="00BA1F19">
        <w:t xml:space="preserve"> for each BCC of the CCR Core applying this EE CZCA methodology</w:t>
      </w:r>
      <w:r>
        <w:t xml:space="preserve">: </w:t>
      </w:r>
    </w:p>
    <w:p w14:paraId="551610C2" w14:textId="704DB240" w:rsidR="00060437" w:rsidRDefault="00060437" w:rsidP="00060437">
      <w:pPr>
        <w:pStyle w:val="textregular"/>
        <w:numPr>
          <w:ilvl w:val="1"/>
          <w:numId w:val="20"/>
        </w:numPr>
        <w:spacing w:line="276" w:lineRule="auto"/>
      </w:pPr>
      <w:r>
        <w:t>The TSO-BSP GCT of standard upward balancing capacity bids and of standard downward balancing capacity bids shall be equal wit</w:t>
      </w:r>
      <w:r w:rsidR="00872524">
        <w:t xml:space="preserve">hin a balancing cooperation and </w:t>
      </w:r>
      <w:r>
        <w:t xml:space="preserve">organised </w:t>
      </w:r>
      <w:r w:rsidR="00872524">
        <w:t>before week-ahead of the SDAC</w:t>
      </w:r>
      <w:r>
        <w:t>.</w:t>
      </w:r>
    </w:p>
    <w:p w14:paraId="24A08B75" w14:textId="77777777" w:rsidR="0077114C" w:rsidRDefault="0077114C" w:rsidP="0077114C">
      <w:pPr>
        <w:pStyle w:val="textenumeration"/>
        <w:numPr>
          <w:ilvl w:val="1"/>
          <w:numId w:val="20"/>
        </w:numPr>
      </w:pPr>
      <w:r w:rsidRPr="00B44DFA">
        <w:t>For TSOs of the balancing capacity cooperation who are applying a central dispatching model, BSPs may submit only integrated scheduling bids (instead of standard balancing capacity bids), which may be converted where possible into standard upward and/or standard downward balancing capacity bids by the connecting TSO in accordance with Article 27 of the EBGL.</w:t>
      </w:r>
      <w:r>
        <w:t xml:space="preserve"> </w:t>
      </w:r>
      <w:r>
        <w:br/>
        <w:t>The</w:t>
      </w:r>
      <w:r w:rsidRPr="00801A63">
        <w:t xml:space="preserve"> </w:t>
      </w:r>
      <w:r>
        <w:t>TSO-BSP GCT for integrated scheduling process bids shall be defined pursuant to Articles 24(5) and 24(6) of the EBGL</w:t>
      </w:r>
    </w:p>
    <w:p w14:paraId="49388108" w14:textId="264465E6" w:rsidR="00060437" w:rsidRDefault="00060437" w:rsidP="00060437">
      <w:pPr>
        <w:pStyle w:val="textregular"/>
        <w:numPr>
          <w:ilvl w:val="1"/>
          <w:numId w:val="20"/>
        </w:numPr>
        <w:spacing w:line="276" w:lineRule="auto"/>
      </w:pPr>
      <w:r>
        <w:t xml:space="preserve">Notification to the BSPs of selected upward balancing capacity bids </w:t>
      </w:r>
      <w:r w:rsidR="00000651">
        <w:t>and/</w:t>
      </w:r>
      <w:r>
        <w:t>or downward balancing capacity bids by TSOs shall be done before the GOT of the S</w:t>
      </w:r>
      <w:r w:rsidR="00872524">
        <w:t>DAC</w:t>
      </w:r>
      <w:r>
        <w:t>.</w:t>
      </w:r>
    </w:p>
    <w:p w14:paraId="17BAE10E" w14:textId="7C5C2A07" w:rsidR="00060437" w:rsidRDefault="00060437" w:rsidP="00060437">
      <w:pPr>
        <w:pStyle w:val="textregular"/>
        <w:numPr>
          <w:ilvl w:val="0"/>
          <w:numId w:val="20"/>
        </w:numPr>
        <w:spacing w:line="276" w:lineRule="auto"/>
      </w:pPr>
      <w:r>
        <w:t xml:space="preserve">The </w:t>
      </w:r>
      <w:r w:rsidR="00872524">
        <w:t xml:space="preserve">allocation process based on economic efficiency analysis </w:t>
      </w:r>
      <w:r>
        <w:t>to allocate CZC for the exchange of balancing capacity and for sharing of reserves shall include the following steps:</w:t>
      </w:r>
      <w:r w:rsidR="00872524">
        <w:t xml:space="preserve"> </w:t>
      </w:r>
    </w:p>
    <w:p w14:paraId="7758A50F" w14:textId="6F6C717A" w:rsidR="00060437" w:rsidRDefault="00060437" w:rsidP="00060437">
      <w:pPr>
        <w:pStyle w:val="textregular"/>
        <w:numPr>
          <w:ilvl w:val="0"/>
          <w:numId w:val="25"/>
        </w:numPr>
        <w:spacing w:line="276" w:lineRule="auto"/>
      </w:pPr>
      <w:r>
        <w:t xml:space="preserve">The TSOs shall </w:t>
      </w:r>
      <w:r w:rsidR="00AB2C59">
        <w:t xml:space="preserve">calculate the </w:t>
      </w:r>
      <w:r>
        <w:t>forecast</w:t>
      </w:r>
      <w:r w:rsidR="00AB2C59">
        <w:t>ed</w:t>
      </w:r>
      <w:r w:rsidR="00872524">
        <w:t xml:space="preserve"> market value of CZC for the exchange of balancing capacity and</w:t>
      </w:r>
      <w:r w:rsidR="00AB2C59">
        <w:t>/or</w:t>
      </w:r>
      <w:r w:rsidR="00872524">
        <w:t xml:space="preserve"> for sharing of reserves and </w:t>
      </w:r>
      <w:r w:rsidR="00AB2C59">
        <w:t xml:space="preserve">shall calculate </w:t>
      </w:r>
      <w:r w:rsidR="00872524">
        <w:t xml:space="preserve">the </w:t>
      </w:r>
      <w:r w:rsidR="00AB2C59">
        <w:t xml:space="preserve">forecasted </w:t>
      </w:r>
      <w:r w:rsidR="00872524">
        <w:t>market value of CZC for the exchange of energy.</w:t>
      </w:r>
    </w:p>
    <w:p w14:paraId="0768FAAB" w14:textId="2E4A57FF" w:rsidR="00872524" w:rsidRDefault="00872524" w:rsidP="00060437">
      <w:pPr>
        <w:pStyle w:val="textregular"/>
        <w:numPr>
          <w:ilvl w:val="0"/>
          <w:numId w:val="25"/>
        </w:numPr>
        <w:spacing w:line="276" w:lineRule="auto"/>
      </w:pPr>
      <w:r>
        <w:t xml:space="preserve">TSOs of the </w:t>
      </w:r>
      <w:r w:rsidR="00EC34F9">
        <w:t>BCC</w:t>
      </w:r>
      <w:r>
        <w:t xml:space="preserve"> shall perform the CZCA optimisation function and determine the allocation of CZC for the exchange of balancing capacity or sharing of reserves.</w:t>
      </w:r>
    </w:p>
    <w:p w14:paraId="46DB363F" w14:textId="751EA315" w:rsidR="0001667E" w:rsidRDefault="0001667E" w:rsidP="005C43B1">
      <w:pPr>
        <w:pStyle w:val="textregular"/>
        <w:numPr>
          <w:ilvl w:val="0"/>
          <w:numId w:val="25"/>
        </w:numPr>
        <w:spacing w:line="276" w:lineRule="auto"/>
      </w:pPr>
      <w:r>
        <w:t xml:space="preserve">The TSOs performing the CZCA optimisation function shall send the allocated CZC values for the exchange of balancing capacity or sharing of reserves to all TSOs of the </w:t>
      </w:r>
      <w:r w:rsidR="00EC34F9">
        <w:t>BCC</w:t>
      </w:r>
      <w:r>
        <w:t>.</w:t>
      </w:r>
    </w:p>
    <w:p w14:paraId="7EC28D60" w14:textId="31EE8E04" w:rsidR="00872524" w:rsidRDefault="00AB2C59" w:rsidP="00872524">
      <w:pPr>
        <w:pStyle w:val="textregular"/>
        <w:numPr>
          <w:ilvl w:val="0"/>
          <w:numId w:val="25"/>
        </w:numPr>
        <w:spacing w:line="276" w:lineRule="auto"/>
      </w:pPr>
      <w:r>
        <w:t>After the allocation of CZC to the exchange of balancing capacity or sharing of reserves, t</w:t>
      </w:r>
      <w:r w:rsidR="00872524">
        <w:t xml:space="preserve">he BSPs submit standard upward and standard downward balancing capacity bids to their </w:t>
      </w:r>
      <w:r>
        <w:t>balancing capacity market operator</w:t>
      </w:r>
      <w:r w:rsidR="00872524">
        <w:t>.</w:t>
      </w:r>
    </w:p>
    <w:p w14:paraId="67403AB4" w14:textId="2BC0BF46" w:rsidR="00872524" w:rsidRDefault="00872524" w:rsidP="00872524">
      <w:pPr>
        <w:pStyle w:val="textregular"/>
        <w:numPr>
          <w:ilvl w:val="0"/>
          <w:numId w:val="25"/>
        </w:numPr>
        <w:spacing w:line="276" w:lineRule="auto"/>
      </w:pPr>
      <w:r>
        <w:t xml:space="preserve">The TSOs of </w:t>
      </w:r>
      <w:r w:rsidRPr="00872524">
        <w:rPr>
          <w:color w:val="000000" w:themeColor="text1"/>
        </w:rPr>
        <w:t xml:space="preserve">the </w:t>
      </w:r>
      <w:r w:rsidR="00EC34F9">
        <w:rPr>
          <w:color w:val="000000" w:themeColor="text1"/>
        </w:rPr>
        <w:t>BCC</w:t>
      </w:r>
      <w:r>
        <w:t xml:space="preserve"> establish the CMOL of balancing capacity bids using the procurement optimisation function, respecting the allocated CZC for the exchange of balancing capacity or sharing of reserves.</w:t>
      </w:r>
      <w:r w:rsidRPr="002A0365">
        <w:rPr>
          <w:lang w:eastAsia="en-GB"/>
        </w:rPr>
        <w:t xml:space="preserve"> </w:t>
      </w:r>
      <w:r>
        <w:rPr>
          <w:lang w:eastAsia="en-GB"/>
        </w:rPr>
        <w:t xml:space="preserve">The procurement optimisation function minimises the overall balancing capacity procurement costs pursuant to </w:t>
      </w:r>
      <w:r w:rsidR="00735F4C">
        <w:rPr>
          <w:lang w:eastAsia="en-GB"/>
        </w:rPr>
        <w:t>article</w:t>
      </w:r>
      <w:r>
        <w:rPr>
          <w:lang w:eastAsia="en-GB"/>
        </w:rPr>
        <w:t xml:space="preserve"> 58(3) of the EBGL.</w:t>
      </w:r>
    </w:p>
    <w:p w14:paraId="5940E03A" w14:textId="1C76B15B" w:rsidR="0001667E" w:rsidRDefault="0001667E" w:rsidP="00872524">
      <w:pPr>
        <w:pStyle w:val="textregular"/>
        <w:numPr>
          <w:ilvl w:val="0"/>
          <w:numId w:val="25"/>
        </w:numPr>
        <w:spacing w:line="276" w:lineRule="auto"/>
      </w:pPr>
    </w:p>
    <w:p w14:paraId="6CFB62EF" w14:textId="77777777" w:rsidR="0001667E" w:rsidRDefault="0001667E" w:rsidP="0001667E">
      <w:pPr>
        <w:pStyle w:val="textregular"/>
        <w:spacing w:line="276" w:lineRule="auto"/>
        <w:ind w:left="1080"/>
      </w:pPr>
    </w:p>
    <w:p w14:paraId="50C7C8F0" w14:textId="385A98E1" w:rsidR="003523FD" w:rsidRDefault="00BA1F19" w:rsidP="00F45213">
      <w:pPr>
        <w:pStyle w:val="headline1"/>
      </w:pPr>
      <w:r>
        <w:t xml:space="preserve"> </w:t>
      </w:r>
      <w:bookmarkStart w:id="20" w:name="_Toc19192530"/>
      <w:r w:rsidR="003523FD">
        <w:t>Process to define the ma</w:t>
      </w:r>
      <w:r w:rsidR="0015530C">
        <w:t xml:space="preserve">ximum volume of allocated cross </w:t>
      </w:r>
      <w:r w:rsidR="003523FD">
        <w:t xml:space="preserve">zonal capacity for the exchange of balancing capacity or sharing </w:t>
      </w:r>
      <w:r w:rsidR="00A31C22">
        <w:t xml:space="preserve">of </w:t>
      </w:r>
      <w:r w:rsidR="003523FD">
        <w:t>reserves</w:t>
      </w:r>
      <w:bookmarkEnd w:id="20"/>
    </w:p>
    <w:p w14:paraId="24CF99F1" w14:textId="6651850F" w:rsidR="00F5327A" w:rsidRDefault="00AB2C59" w:rsidP="004F235A">
      <w:pPr>
        <w:pStyle w:val="textregular"/>
        <w:numPr>
          <w:ilvl w:val="0"/>
          <w:numId w:val="48"/>
        </w:numPr>
        <w:spacing w:line="276" w:lineRule="auto"/>
      </w:pPr>
      <w:r>
        <w:t xml:space="preserve">The process to define the maximum volume of allocated CZC for the exchange of balancing capacity and/or sharing of reserves shall comply with </w:t>
      </w:r>
      <w:r w:rsidR="00735F4C">
        <w:t>article</w:t>
      </w:r>
      <w:r>
        <w:t> 42(2) of the EBGL.</w:t>
      </w:r>
    </w:p>
    <w:p w14:paraId="41AF5893" w14:textId="32669785" w:rsidR="00BF7A04" w:rsidRDefault="00BF7A04" w:rsidP="004F235A">
      <w:pPr>
        <w:pStyle w:val="textregular"/>
        <w:numPr>
          <w:ilvl w:val="0"/>
          <w:numId w:val="48"/>
        </w:numPr>
        <w:spacing w:line="276" w:lineRule="auto"/>
      </w:pPr>
      <w:r>
        <w:t xml:space="preserve">The 5% of CZC </w:t>
      </w:r>
      <w:r w:rsidRPr="00A632A1">
        <w:t>allocated on a market-based process</w:t>
      </w:r>
      <w:r>
        <w:t xml:space="preserve"> on a Core BZB is determined as 5% of the hourly average offered capacity on that Core BZB for the SDAC in the period from 01 November two years ahead until 31 October of the previous (relevant) calendar year. The respective resulting CZC shall be published by Core TSOs.</w:t>
      </w:r>
    </w:p>
    <w:p w14:paraId="3F82BA86" w14:textId="26CCE4F5" w:rsidR="00AB2C59" w:rsidRDefault="00AB2C59" w:rsidP="00BF7A04">
      <w:pPr>
        <w:pStyle w:val="textregular"/>
        <w:numPr>
          <w:ilvl w:val="0"/>
          <w:numId w:val="48"/>
        </w:numPr>
        <w:spacing w:line="276" w:lineRule="auto"/>
        <w:ind w:left="714" w:hanging="357"/>
      </w:pPr>
      <w:r>
        <w:t xml:space="preserve">New interconnectors are those interconnectors that went operational for the exchange of energy after 18.12.2019. 10% of the installed capacity means 10% of the active power capacity of the interconnector capable to be transferred continuously within the designed safe security margins of the </w:t>
      </w:r>
      <w:r w:rsidRPr="00C24894">
        <w:t>interconnector.</w:t>
      </w:r>
    </w:p>
    <w:p w14:paraId="148DC695" w14:textId="08874D4A" w:rsidR="00AB2C59" w:rsidRPr="00C24894" w:rsidRDefault="00AB2C59" w:rsidP="00BF7A04">
      <w:pPr>
        <w:pStyle w:val="textregular"/>
        <w:numPr>
          <w:ilvl w:val="0"/>
          <w:numId w:val="48"/>
        </w:numPr>
        <w:spacing w:line="276" w:lineRule="auto"/>
        <w:ind w:left="714" w:hanging="357"/>
      </w:pPr>
      <w:r w:rsidRPr="00C24894">
        <w:t xml:space="preserve">The volume limitation of </w:t>
      </w:r>
      <w:r w:rsidR="00735F4C">
        <w:t>article</w:t>
      </w:r>
      <w:r>
        <w:t> </w:t>
      </w:r>
      <w:r w:rsidRPr="00C24894">
        <w:t>4</w:t>
      </w:r>
      <w:r>
        <w:t>2</w:t>
      </w:r>
      <w:r w:rsidRPr="00C24894">
        <w:t xml:space="preserve">(2) </w:t>
      </w:r>
      <w:r>
        <w:t xml:space="preserve">of the EBGL may not apply for bidding zone borders connected through DC interconnectors until the co-optimised or market-based allocation processes are harmonised at Union level pursuant to </w:t>
      </w:r>
      <w:r w:rsidR="00735F4C">
        <w:t>article</w:t>
      </w:r>
      <w:r>
        <w:t xml:space="preserve"> 38(3) of the EBGL.</w:t>
      </w:r>
    </w:p>
    <w:p w14:paraId="153A901B" w14:textId="49ACD5CA" w:rsidR="00AB2C59" w:rsidRDefault="00AB2C59" w:rsidP="00BF7A04">
      <w:pPr>
        <w:pStyle w:val="textregular"/>
        <w:numPr>
          <w:ilvl w:val="0"/>
          <w:numId w:val="48"/>
        </w:numPr>
        <w:spacing w:line="276" w:lineRule="auto"/>
        <w:ind w:left="714" w:hanging="357"/>
      </w:pPr>
      <w:r>
        <w:t xml:space="preserve">The maximum volume of allocated CZC for the exchange of balancing capacity or sharing of reserves shall respect </w:t>
      </w:r>
      <w:r w:rsidRPr="00DE2AF0">
        <w:t xml:space="preserve">the rules for exchange of FRR and </w:t>
      </w:r>
      <w:r w:rsidR="00BA1F19">
        <w:t xml:space="preserve">of </w:t>
      </w:r>
      <w:r w:rsidRPr="00DE2AF0">
        <w:t xml:space="preserve">RR within a synchronous area </w:t>
      </w:r>
      <w:r>
        <w:t xml:space="preserve">in accordance with </w:t>
      </w:r>
      <w:r w:rsidR="00735F4C">
        <w:t>article</w:t>
      </w:r>
      <w:r>
        <w:t>s </w:t>
      </w:r>
      <w:r w:rsidRPr="00DE2AF0">
        <w:t>167 and 169 of the SOGL</w:t>
      </w:r>
      <w:r>
        <w:t>.</w:t>
      </w:r>
    </w:p>
    <w:p w14:paraId="2A837AB1" w14:textId="7FD10399" w:rsidR="00617518" w:rsidRPr="00C24894" w:rsidRDefault="00AB2C59" w:rsidP="00BF7A04">
      <w:pPr>
        <w:pStyle w:val="textregular"/>
        <w:numPr>
          <w:ilvl w:val="0"/>
          <w:numId w:val="48"/>
        </w:numPr>
        <w:spacing w:line="276" w:lineRule="auto"/>
      </w:pPr>
      <w:r w:rsidRPr="00AF5B54">
        <w:t>Core</w:t>
      </w:r>
      <w:r>
        <w:t xml:space="preserve"> TSOs and </w:t>
      </w:r>
      <w:r w:rsidR="00BA1F19">
        <w:t xml:space="preserve">Core </w:t>
      </w:r>
      <w:r>
        <w:t xml:space="preserve">NRAs of each </w:t>
      </w:r>
      <w:r w:rsidR="00EC34F9">
        <w:t>BCC</w:t>
      </w:r>
      <w:r>
        <w:t xml:space="preserve"> </w:t>
      </w:r>
      <w:r w:rsidR="00BA1F19">
        <w:t xml:space="preserve">of the CCR Core </w:t>
      </w:r>
      <w:r>
        <w:t>may commonly apply a</w:t>
      </w:r>
      <w:r w:rsidRPr="00270A9A">
        <w:t xml:space="preserve">dditional </w:t>
      </w:r>
      <w:r>
        <w:t>limits</w:t>
      </w:r>
      <w:r w:rsidRPr="00270A9A">
        <w:t xml:space="preserve"> </w:t>
      </w:r>
      <w:r>
        <w:t xml:space="preserve">besides the limitations of </w:t>
      </w:r>
      <w:r w:rsidR="00735F4C">
        <w:t>article</w:t>
      </w:r>
      <w:r>
        <w:t xml:space="preserve"> 41(2) of the EBGL for the maximum volume of allocated CZC for the exchange of balancing capacity or sharing of reserves within their own </w:t>
      </w:r>
      <w:r w:rsidR="00EC34F9">
        <w:t>BCC</w:t>
      </w:r>
      <w:r>
        <w:t>.</w:t>
      </w:r>
    </w:p>
    <w:p w14:paraId="3CE017A3" w14:textId="042DACDC" w:rsidR="001D71D4" w:rsidRPr="001B21B9" w:rsidRDefault="001D71D4" w:rsidP="00BA1F19">
      <w:pPr>
        <w:pStyle w:val="ListParagraph"/>
        <w:spacing w:after="120" w:line="276" w:lineRule="auto"/>
        <w:ind w:left="714"/>
        <w:contextualSpacing w:val="0"/>
        <w:rPr>
          <w:lang w:val="en-GB"/>
        </w:rPr>
      </w:pPr>
      <w:r>
        <w:t>.</w:t>
      </w:r>
    </w:p>
    <w:p w14:paraId="34EC533F" w14:textId="77777777" w:rsidR="001B21B9" w:rsidRPr="001B21B9" w:rsidRDefault="001B21B9" w:rsidP="001B21B9">
      <w:pPr>
        <w:pStyle w:val="ListParagraph"/>
        <w:spacing w:after="120" w:line="276" w:lineRule="auto"/>
        <w:ind w:left="714"/>
        <w:contextualSpacing w:val="0"/>
        <w:rPr>
          <w:b/>
          <w:lang w:val="en-GB"/>
        </w:rPr>
      </w:pPr>
    </w:p>
    <w:p w14:paraId="0F750345" w14:textId="2BE29C0A" w:rsidR="002161A7" w:rsidRDefault="00784EF0" w:rsidP="00F45213">
      <w:pPr>
        <w:pStyle w:val="headline1"/>
      </w:pPr>
      <w:bookmarkStart w:id="21" w:name="_Toc19192531"/>
      <w:bookmarkStart w:id="22" w:name="_Toc432586772"/>
      <w:bookmarkStart w:id="23" w:name="_Toc432586792"/>
      <w:r>
        <w:t xml:space="preserve">Determination of the </w:t>
      </w:r>
      <w:r w:rsidR="0070164E">
        <w:t xml:space="preserve">forecasted </w:t>
      </w:r>
      <w:r w:rsidR="0015530C">
        <w:t xml:space="preserve">market value of cross </w:t>
      </w:r>
      <w:r>
        <w:t>zonal capacity for the exchange of energy</w:t>
      </w:r>
      <w:bookmarkEnd w:id="21"/>
    </w:p>
    <w:p w14:paraId="45817DDF" w14:textId="14917561" w:rsidR="00AB2C59" w:rsidRDefault="00AB2C59" w:rsidP="00AB2C59">
      <w:pPr>
        <w:pStyle w:val="textregular"/>
        <w:numPr>
          <w:ilvl w:val="0"/>
          <w:numId w:val="10"/>
        </w:numPr>
        <w:spacing w:line="276" w:lineRule="auto"/>
      </w:pPr>
      <w:r>
        <w:t xml:space="preserve">When calculating the forecasted market value of CZC in day-ahead market timeframe, it shall be calculated in accordance with the methodology pursuant to </w:t>
      </w:r>
      <w:r w:rsidR="00735F4C">
        <w:t>article</w:t>
      </w:r>
      <w:r>
        <w:t xml:space="preserve"> 37(2) of the </w:t>
      </w:r>
      <w:r w:rsidR="008718E9">
        <w:t>CACMGL</w:t>
      </w:r>
      <w:r>
        <w:t xml:space="preserve">. </w:t>
      </w:r>
    </w:p>
    <w:p w14:paraId="658A1B95" w14:textId="2B50BD31" w:rsidR="00DE4AA7" w:rsidRDefault="00DE4AA7" w:rsidP="00DE4AA7">
      <w:pPr>
        <w:pStyle w:val="textregular"/>
        <w:numPr>
          <w:ilvl w:val="0"/>
          <w:numId w:val="10"/>
        </w:numPr>
        <w:spacing w:line="276" w:lineRule="auto"/>
      </w:pPr>
      <w:r>
        <w:t xml:space="preserve">The forecasted market value of CZC for the exchange of energy between bidding zones shall be defined per MTU of SDAC and shall be calculated in accordance with </w:t>
      </w:r>
      <w:r w:rsidR="00735F4C">
        <w:t>article</w:t>
      </w:r>
      <w:r>
        <w:t> 39(5) of the EBGL.</w:t>
      </w:r>
    </w:p>
    <w:p w14:paraId="395F42D1" w14:textId="5F205D73" w:rsidR="00C2031F" w:rsidRDefault="00C2031F" w:rsidP="00C2031F">
      <w:pPr>
        <w:pStyle w:val="textregular"/>
        <w:numPr>
          <w:ilvl w:val="0"/>
          <w:numId w:val="10"/>
        </w:numPr>
        <w:spacing w:line="276" w:lineRule="auto"/>
      </w:pPr>
      <w:r>
        <w:t xml:space="preserve">The forecasted market value of CZC for the exchange of energy between bidding zones shall be based on the difference in the day-ahead prices of the corresponding hour in the relevant bidding zones of a reference period in the congested direction. The forecasted market value of CZC for the exchange of energy is 0 EUR/MW if the market value of CZC for the exchange of balancing capacity or sharing of reserves is in the opposite direction of the congestion direction. </w:t>
      </w:r>
    </w:p>
    <w:p w14:paraId="16930E64" w14:textId="1DB6B6C2" w:rsidR="00C2031F" w:rsidRPr="00234D73" w:rsidRDefault="00C2031F" w:rsidP="00C2031F">
      <w:pPr>
        <w:pStyle w:val="ListParagraph"/>
        <w:numPr>
          <w:ilvl w:val="0"/>
          <w:numId w:val="10"/>
        </w:numPr>
        <w:spacing w:after="120"/>
        <w:contextualSpacing w:val="0"/>
        <w:rPr>
          <w:lang w:val="en-GB"/>
        </w:rPr>
      </w:pPr>
      <w:r>
        <w:t xml:space="preserve">Any application in a </w:t>
      </w:r>
      <w:r w:rsidR="00EC34F9">
        <w:t>BCC</w:t>
      </w:r>
      <w:r>
        <w:t xml:space="preserve"> of adjustment factors to the forecasted value of CZC for the exchange of energy between bidding zones shall be included and justified in the </w:t>
      </w:r>
      <w:r w:rsidR="008718E9">
        <w:t>methodology</w:t>
      </w:r>
      <w:r>
        <w:t xml:space="preserve"> for the establishment of common and harmonized rules and processes for the exchange and procurement of balancing capacity according to </w:t>
      </w:r>
      <w:r w:rsidR="00735F4C">
        <w:t>article</w:t>
      </w:r>
      <w:r>
        <w:t> 33(1) of the EBGL.</w:t>
      </w:r>
    </w:p>
    <w:p w14:paraId="229BCA3A" w14:textId="720FA7C3" w:rsidR="00C2031F" w:rsidRDefault="00C2031F" w:rsidP="00C2031F">
      <w:pPr>
        <w:pStyle w:val="textregular"/>
        <w:numPr>
          <w:ilvl w:val="0"/>
          <w:numId w:val="10"/>
        </w:numPr>
        <w:spacing w:line="276" w:lineRule="auto"/>
      </w:pPr>
      <w:r>
        <w:t>If the adjustment factors are used, they shall be used in a transparent way to incorporate improved forecasting and not to give preference to the exchange of balancing capacity or sharing of reserves on the expense of CZC allocated to the exchange of energy.</w:t>
      </w:r>
    </w:p>
    <w:p w14:paraId="6F207D67" w14:textId="77777777" w:rsidR="002E3F3F" w:rsidRPr="009E6426" w:rsidRDefault="002E3F3F" w:rsidP="002E3F3F">
      <w:pPr>
        <w:pStyle w:val="textregular"/>
        <w:numPr>
          <w:ilvl w:val="0"/>
          <w:numId w:val="10"/>
        </w:numPr>
        <w:spacing w:line="276" w:lineRule="auto"/>
      </w:pPr>
      <w:r w:rsidRPr="00C32E60">
        <w:t>The methodology for calculating the forecasted value of CZC for the exchange of energy between bidding zones shall take into account the negative effect that the potential reduction of CZC from SDAC may have on the different, relevant network elements of the CCR.</w:t>
      </w:r>
    </w:p>
    <w:p w14:paraId="7F1ACF36" w14:textId="66C01A1C" w:rsidR="00DE4AA7" w:rsidRDefault="00C2031F" w:rsidP="00DE4AA7">
      <w:pPr>
        <w:pStyle w:val="textregular"/>
        <w:numPr>
          <w:ilvl w:val="0"/>
          <w:numId w:val="10"/>
        </w:numPr>
      </w:pPr>
      <w:r w:rsidRPr="002E3FFD">
        <w:t xml:space="preserve">The </w:t>
      </w:r>
      <w:r w:rsidR="00BA1F19">
        <w:t xml:space="preserve">Core </w:t>
      </w:r>
      <w:r w:rsidRPr="002E3FFD">
        <w:t xml:space="preserve">TSOs </w:t>
      </w:r>
      <w:r>
        <w:t xml:space="preserve">of each </w:t>
      </w:r>
      <w:r w:rsidR="00EC34F9">
        <w:t>BCC</w:t>
      </w:r>
      <w:r>
        <w:t xml:space="preserve"> of the CCR Core implementing this EE CZCA </w:t>
      </w:r>
      <w:r w:rsidR="008718E9">
        <w:t>methodology</w:t>
      </w:r>
      <w:r>
        <w:t xml:space="preserve"> </w:t>
      </w:r>
      <w:r w:rsidRPr="002E3FFD">
        <w:t xml:space="preserve">shall monitor </w:t>
      </w:r>
      <w:r>
        <w:t xml:space="preserve">and report to the Core TSOs </w:t>
      </w:r>
      <w:r w:rsidRPr="002E3FFD">
        <w:t>the efficiency of the forecasting methodology</w:t>
      </w:r>
      <w:r>
        <w:t xml:space="preserve"> on at least a yearly basis</w:t>
      </w:r>
      <w:r w:rsidRPr="002E3FFD">
        <w:t>, including a comparison of the forecasted and actual market values of the CZC for the</w:t>
      </w:r>
      <w:r>
        <w:t xml:space="preserve"> exchange of</w:t>
      </w:r>
      <w:r w:rsidRPr="002E3FFD">
        <w:t xml:space="preserve"> energy and take appropriate actions, where needed</w:t>
      </w:r>
      <w:r>
        <w:t>.</w:t>
      </w:r>
    </w:p>
    <w:p w14:paraId="6128A95B" w14:textId="77777777" w:rsidR="00E20F29" w:rsidRDefault="00E20F29" w:rsidP="00DE4AA7">
      <w:pPr>
        <w:pStyle w:val="textregular"/>
        <w:spacing w:line="276" w:lineRule="auto"/>
      </w:pPr>
    </w:p>
    <w:p w14:paraId="2762A590" w14:textId="783900DD" w:rsidR="003B1946" w:rsidRDefault="003B1946" w:rsidP="00F45213">
      <w:pPr>
        <w:pStyle w:val="headline1"/>
      </w:pPr>
      <w:bookmarkStart w:id="24" w:name="_Toc19192532"/>
      <w:r w:rsidRPr="003B1946">
        <w:t>Determination</w:t>
      </w:r>
      <w:r>
        <w:t xml:space="preserve"> of the forecasted market value of </w:t>
      </w:r>
      <w:r w:rsidR="00EF4E88">
        <w:t>cross zonal</w:t>
      </w:r>
      <w:r>
        <w:t xml:space="preserve"> capacity for the exchange of balancing capacity or sharing of reserves</w:t>
      </w:r>
      <w:bookmarkEnd w:id="24"/>
    </w:p>
    <w:p w14:paraId="0D7D13D1" w14:textId="72B6A007" w:rsidR="00224118" w:rsidRDefault="00224118" w:rsidP="00647B80">
      <w:pPr>
        <w:pStyle w:val="textregular"/>
        <w:numPr>
          <w:ilvl w:val="0"/>
          <w:numId w:val="26"/>
        </w:numPr>
        <w:spacing w:line="276" w:lineRule="auto"/>
      </w:pPr>
      <w:r>
        <w:t xml:space="preserve">The forecasted market value of CZC for the exchange of balancing capacity or sharing of reserves between bidding zones shall be defined per </w:t>
      </w:r>
      <w:r w:rsidR="00564561">
        <w:t>MTU</w:t>
      </w:r>
      <w:r w:rsidR="00621D38">
        <w:t xml:space="preserve"> </w:t>
      </w:r>
      <w:r w:rsidR="00564561">
        <w:t xml:space="preserve">of SDAC </w:t>
      </w:r>
      <w:r w:rsidR="00621D38">
        <w:t>and</w:t>
      </w:r>
      <w:r>
        <w:t xml:space="preserve"> shall be calculated in accordance with </w:t>
      </w:r>
      <w:r w:rsidR="00735F4C">
        <w:t>article</w:t>
      </w:r>
      <w:r>
        <w:t xml:space="preserve"> 39(5) of the EBGL. </w:t>
      </w:r>
    </w:p>
    <w:p w14:paraId="1BD6CB54" w14:textId="6D5EBBFC" w:rsidR="000E7928" w:rsidRDefault="00224118" w:rsidP="000E7928">
      <w:pPr>
        <w:pStyle w:val="textregular"/>
        <w:numPr>
          <w:ilvl w:val="0"/>
          <w:numId w:val="26"/>
        </w:numPr>
        <w:spacing w:line="276" w:lineRule="auto"/>
      </w:pPr>
      <w:r>
        <w:t xml:space="preserve">The forecasted market value of CZC for the exchange of balancing capacity or sharing of reserves between bidding zones shall be based </w:t>
      </w:r>
      <w:r w:rsidR="000E7928">
        <w:t xml:space="preserve">on </w:t>
      </w:r>
      <w:r w:rsidR="002A5FDF">
        <w:t>submitted bids of selected reference period</w:t>
      </w:r>
      <w:r w:rsidR="000E7928">
        <w:t xml:space="preserve">(s) with the option to include </w:t>
      </w:r>
      <w:r w:rsidR="00037F91">
        <w:t>adjustment factors.</w:t>
      </w:r>
    </w:p>
    <w:p w14:paraId="341E54B3" w14:textId="1B0143D5" w:rsidR="00A96BC9" w:rsidRDefault="00A96BC9" w:rsidP="000E7928">
      <w:pPr>
        <w:pStyle w:val="textregular"/>
        <w:numPr>
          <w:ilvl w:val="0"/>
          <w:numId w:val="26"/>
        </w:numPr>
        <w:spacing w:line="276" w:lineRule="auto"/>
      </w:pPr>
      <w:r>
        <w:t>If the adjustment factors are used, they shall be used in a transparent way to incorporate improved forecasting and not to give preference to the exchange of balancing capacity or sharing of reserves on the expense of CZC allocated to the exchange of energy.</w:t>
      </w:r>
    </w:p>
    <w:p w14:paraId="0F148C62" w14:textId="77777777" w:rsidR="009F1102" w:rsidRDefault="000E7928" w:rsidP="009F1102">
      <w:pPr>
        <w:pStyle w:val="textregular"/>
        <w:numPr>
          <w:ilvl w:val="0"/>
          <w:numId w:val="26"/>
        </w:numPr>
        <w:spacing w:line="276" w:lineRule="auto"/>
      </w:pPr>
      <w:r w:rsidRPr="009F1102">
        <w:t>The reference period shall be based on the latest available information.</w:t>
      </w:r>
    </w:p>
    <w:p w14:paraId="4E1EF463" w14:textId="1D4F87AC" w:rsidR="00224118" w:rsidRPr="009F1102" w:rsidRDefault="000E7928" w:rsidP="009F1102">
      <w:pPr>
        <w:pStyle w:val="textregular"/>
        <w:numPr>
          <w:ilvl w:val="0"/>
          <w:numId w:val="26"/>
        </w:numPr>
        <w:spacing w:line="276" w:lineRule="auto"/>
      </w:pPr>
      <w:r w:rsidRPr="009F1102">
        <w:t>The</w:t>
      </w:r>
      <w:r w:rsidRPr="00A96BC9">
        <w:t xml:space="preserve"> TSOs shall monitor </w:t>
      </w:r>
      <w:r w:rsidR="00A96BC9" w:rsidRPr="00A96BC9">
        <w:t xml:space="preserve">at least once a year </w:t>
      </w:r>
      <w:r w:rsidRPr="00A96BC9">
        <w:t>the efficiency of the forecasting methodology, including a</w:t>
      </w:r>
      <w:r>
        <w:t xml:space="preserve"> comparison of the forecasted and actual market values of the CZC for the exchange of balancing capacity or sharing of reserves and take appropriate actions where needed.</w:t>
      </w:r>
      <w:r w:rsidDel="00037F91">
        <w:t xml:space="preserve"> </w:t>
      </w:r>
    </w:p>
    <w:p w14:paraId="5F06F3AD" w14:textId="77777777" w:rsidR="00E20F29" w:rsidRDefault="00E20F29" w:rsidP="00E20F29">
      <w:pPr>
        <w:pStyle w:val="textregular"/>
        <w:spacing w:line="276" w:lineRule="auto"/>
        <w:ind w:left="1080"/>
      </w:pPr>
    </w:p>
    <w:p w14:paraId="0E9B66D9" w14:textId="32801475" w:rsidR="00F76512" w:rsidRDefault="00D449AD" w:rsidP="00F45213">
      <w:pPr>
        <w:pStyle w:val="headline1"/>
      </w:pPr>
      <w:bookmarkStart w:id="25" w:name="_Toc19192533"/>
      <w:r>
        <w:t>Determination of the allocated volume of cross</w:t>
      </w:r>
      <w:r w:rsidR="00EF4E88">
        <w:t xml:space="preserve"> </w:t>
      </w:r>
      <w:r>
        <w:t xml:space="preserve">zonal capacity for the </w:t>
      </w:r>
      <w:r w:rsidR="00F76512">
        <w:t>exchange of balancing capacity or sharing of reserves</w:t>
      </w:r>
      <w:bookmarkEnd w:id="25"/>
    </w:p>
    <w:p w14:paraId="38909635" w14:textId="5F4F9FA7" w:rsidR="00BA1F19" w:rsidRPr="00BA1F19" w:rsidRDefault="00BA1F19" w:rsidP="00BA1F19">
      <w:pPr>
        <w:pStyle w:val="ListParagraph"/>
        <w:numPr>
          <w:ilvl w:val="0"/>
          <w:numId w:val="29"/>
        </w:numPr>
      </w:pPr>
      <w:r>
        <w:t xml:space="preserve">The determination of allocation of CZC to the exchange of balancing capacity or sharing of reserves shall be based on a comparison of the </w:t>
      </w:r>
      <w:r w:rsidR="002E3F3F">
        <w:t>forecasted</w:t>
      </w:r>
      <w:r>
        <w:t xml:space="preserve"> market value of CZC for the exchange of balancing capacity or sharing of reserves and the forecasted market value of CZC for the exchange of energy.</w:t>
      </w:r>
    </w:p>
    <w:p w14:paraId="05FF9B68" w14:textId="46427E97" w:rsidR="0001667E" w:rsidRDefault="0001667E" w:rsidP="005C43B1">
      <w:pPr>
        <w:pStyle w:val="textregular"/>
        <w:numPr>
          <w:ilvl w:val="0"/>
          <w:numId w:val="29"/>
        </w:numPr>
        <w:spacing w:line="276" w:lineRule="auto"/>
      </w:pPr>
      <w:r w:rsidRPr="0001667E">
        <w:rPr>
          <w:color w:val="000000" w:themeColor="text1"/>
        </w:rPr>
        <w:t>T</w:t>
      </w:r>
      <w:r w:rsidR="001C785C" w:rsidRPr="007327AC">
        <w:t xml:space="preserve">he allocation of CZC for the exchange of balancing capacity </w:t>
      </w:r>
      <w:r w:rsidR="001C785C">
        <w:t xml:space="preserve">or sharing of reserves </w:t>
      </w:r>
      <w:r w:rsidR="001C785C" w:rsidRPr="007327AC">
        <w:t xml:space="preserve">is determined </w:t>
      </w:r>
      <w:r w:rsidR="00C2031F">
        <w:t>before</w:t>
      </w:r>
      <w:r>
        <w:t xml:space="preserve"> the </w:t>
      </w:r>
      <w:r w:rsidRPr="007327AC">
        <w:t xml:space="preserve">selection of balancing capacity bids by the </w:t>
      </w:r>
      <w:r w:rsidR="00C2031F">
        <w:t xml:space="preserve">capacity </w:t>
      </w:r>
      <w:r w:rsidRPr="007327AC">
        <w:t>procurement optimisation function</w:t>
      </w:r>
      <w:r>
        <w:t>.</w:t>
      </w:r>
    </w:p>
    <w:p w14:paraId="6FA8966A" w14:textId="633D7961" w:rsidR="00591533" w:rsidRDefault="00591533" w:rsidP="00647B80">
      <w:pPr>
        <w:pStyle w:val="textregular"/>
        <w:numPr>
          <w:ilvl w:val="0"/>
          <w:numId w:val="29"/>
        </w:numPr>
        <w:spacing w:line="276" w:lineRule="auto"/>
      </w:pPr>
      <w:r>
        <w:t xml:space="preserve">The objective for the allocation of CZC between SDAC and the exchange of balancing capacity or sharing of reserves shall be the maximisation of the </w:t>
      </w:r>
      <w:r w:rsidR="00C2031F">
        <w:t xml:space="preserve">expected </w:t>
      </w:r>
      <w:r>
        <w:t xml:space="preserve">total </w:t>
      </w:r>
      <w:r w:rsidR="004B47D1">
        <w:t xml:space="preserve">economic </w:t>
      </w:r>
      <w:r>
        <w:t xml:space="preserve">surplus for the sum of the </w:t>
      </w:r>
      <w:r w:rsidR="00C2031F">
        <w:t xml:space="preserve">expected </w:t>
      </w:r>
      <w:r>
        <w:t xml:space="preserve">exchange of energy and the </w:t>
      </w:r>
      <w:r w:rsidR="00C2031F">
        <w:t xml:space="preserve">expected </w:t>
      </w:r>
      <w:r>
        <w:t>exchange of balancing capacity or sharing of reserves.</w:t>
      </w:r>
    </w:p>
    <w:p w14:paraId="319F5DB7" w14:textId="48666C9C" w:rsidR="00591533" w:rsidRDefault="00591533" w:rsidP="00647B80">
      <w:pPr>
        <w:pStyle w:val="textregular"/>
        <w:numPr>
          <w:ilvl w:val="0"/>
          <w:numId w:val="29"/>
        </w:numPr>
        <w:spacing w:line="276" w:lineRule="auto"/>
      </w:pPr>
      <w:r w:rsidRPr="009F1E6D">
        <w:t xml:space="preserve">The </w:t>
      </w:r>
      <w:r>
        <w:t xml:space="preserve">optimisation resolution for the allocation of CZC for the exchange of balancing capacity and sharing of reserves equals the optimisation resolution of the optimisation function of the SDAC. </w:t>
      </w:r>
      <w:r w:rsidR="00BA1F19">
        <w:t>Standard u</w:t>
      </w:r>
      <w:r>
        <w:t xml:space="preserve">pward balancing capacity bids and downward balancing capacity bids with a granularity larger than the MTU </w:t>
      </w:r>
      <w:r w:rsidR="00BA1F19">
        <w:t xml:space="preserve">of SDAC </w:t>
      </w:r>
      <w:r>
        <w:t>are considered as block bids</w:t>
      </w:r>
      <w:r w:rsidR="00BA1F19">
        <w:t xml:space="preserve"> in the optimisation</w:t>
      </w:r>
      <w:r>
        <w:t>.</w:t>
      </w:r>
    </w:p>
    <w:p w14:paraId="49DAFD09" w14:textId="5F7FCE9E" w:rsidR="00591533" w:rsidRDefault="00591533" w:rsidP="00647B80">
      <w:pPr>
        <w:pStyle w:val="textregular"/>
        <w:numPr>
          <w:ilvl w:val="0"/>
          <w:numId w:val="29"/>
        </w:numPr>
        <w:spacing w:line="276" w:lineRule="auto"/>
      </w:pPr>
      <w:r>
        <w:t xml:space="preserve">Each marginal volume of CZC shall be allocated to the exchange of energy in case the marginal </w:t>
      </w:r>
      <w:r w:rsidR="00C2031F">
        <w:t xml:space="preserve">economic </w:t>
      </w:r>
      <w:r>
        <w:t xml:space="preserve">surplus of CZC for the exchange of balancing capacity or sharing of reserves is lower or equal to the </w:t>
      </w:r>
      <w:r w:rsidR="00C2031F">
        <w:t xml:space="preserve">expected </w:t>
      </w:r>
      <w:r>
        <w:t xml:space="preserve">marginal </w:t>
      </w:r>
      <w:r w:rsidR="00C2031F">
        <w:t xml:space="preserve">economic </w:t>
      </w:r>
      <w:r>
        <w:t>surplus of CZC for the exchange of energy.</w:t>
      </w:r>
    </w:p>
    <w:p w14:paraId="712A2E04" w14:textId="77777777" w:rsidR="00591533" w:rsidRDefault="00591533" w:rsidP="00647B80">
      <w:pPr>
        <w:pStyle w:val="textregular"/>
        <w:numPr>
          <w:ilvl w:val="0"/>
          <w:numId w:val="29"/>
        </w:numPr>
        <w:spacing w:line="276" w:lineRule="auto"/>
      </w:pPr>
      <w:r>
        <w:t>Netting of CZC allocated to the exchange of balancing capacity or sharing of reserves is not possible between:</w:t>
      </w:r>
    </w:p>
    <w:p w14:paraId="7A3430EE" w14:textId="0707E94A" w:rsidR="00591533" w:rsidRDefault="00823E0C" w:rsidP="00647B80">
      <w:pPr>
        <w:pStyle w:val="textregular"/>
        <w:numPr>
          <w:ilvl w:val="1"/>
          <w:numId w:val="36"/>
        </w:numPr>
        <w:spacing w:line="276" w:lineRule="auto"/>
      </w:pPr>
      <w:r>
        <w:t>standard</w:t>
      </w:r>
      <w:r w:rsidR="00591533">
        <w:t xml:space="preserve"> upward and downward balancing capacity bids;</w:t>
      </w:r>
    </w:p>
    <w:p w14:paraId="3F4626CD" w14:textId="15189130" w:rsidR="00591533" w:rsidRDefault="00823E0C" w:rsidP="00647B80">
      <w:pPr>
        <w:pStyle w:val="textregular"/>
        <w:numPr>
          <w:ilvl w:val="1"/>
          <w:numId w:val="36"/>
        </w:numPr>
        <w:spacing w:line="276" w:lineRule="auto"/>
      </w:pPr>
      <w:r>
        <w:t xml:space="preserve">standard </w:t>
      </w:r>
      <w:r w:rsidR="00591533">
        <w:t>balancing capacity bids of different balancing products;</w:t>
      </w:r>
    </w:p>
    <w:p w14:paraId="014B688F" w14:textId="6DF8C621" w:rsidR="00591533" w:rsidRDefault="00823E0C" w:rsidP="00647B80">
      <w:pPr>
        <w:pStyle w:val="textregular"/>
        <w:numPr>
          <w:ilvl w:val="1"/>
          <w:numId w:val="36"/>
        </w:numPr>
        <w:spacing w:line="276" w:lineRule="auto"/>
      </w:pPr>
      <w:r>
        <w:t xml:space="preserve">standard </w:t>
      </w:r>
      <w:r w:rsidR="00591533">
        <w:t>balancing capacity bid and exchange of energy bid.</w:t>
      </w:r>
    </w:p>
    <w:p w14:paraId="2FD8650D" w14:textId="7BD5CBE2" w:rsidR="00591533" w:rsidRDefault="00221665" w:rsidP="00647B80">
      <w:pPr>
        <w:pStyle w:val="textregular"/>
        <w:numPr>
          <w:ilvl w:val="0"/>
          <w:numId w:val="29"/>
        </w:numPr>
        <w:spacing w:line="276" w:lineRule="auto"/>
      </w:pPr>
      <w:r w:rsidRPr="009F1102">
        <w:rPr>
          <w:bCs/>
          <w:iCs/>
        </w:rPr>
        <w:t>Core</w:t>
      </w:r>
      <w:r w:rsidR="00237725">
        <w:t xml:space="preserve"> </w:t>
      </w:r>
      <w:r w:rsidR="00591533">
        <w:t xml:space="preserve">TSOs and </w:t>
      </w:r>
      <w:r w:rsidRPr="009F1102">
        <w:rPr>
          <w:bCs/>
          <w:iCs/>
        </w:rPr>
        <w:t>Core</w:t>
      </w:r>
      <w:r w:rsidR="00237725">
        <w:t xml:space="preserve"> </w:t>
      </w:r>
      <w:r w:rsidR="00591533">
        <w:t xml:space="preserve">NRAs of a </w:t>
      </w:r>
      <w:r w:rsidR="00EC34F9">
        <w:t>BCC</w:t>
      </w:r>
      <w:r w:rsidR="00591533">
        <w:t xml:space="preserve"> may commonly apply additional thresholds and/or margins to reduce CZC allocation for the exchange of balancing capacity or sharing of reserves between bidding zones.</w:t>
      </w:r>
    </w:p>
    <w:p w14:paraId="1E8AA18B" w14:textId="77777777" w:rsidR="00E20F29" w:rsidRDefault="00E20F29" w:rsidP="00E20F29">
      <w:pPr>
        <w:pStyle w:val="textregular"/>
        <w:spacing w:line="276" w:lineRule="auto"/>
        <w:ind w:left="720"/>
      </w:pPr>
    </w:p>
    <w:p w14:paraId="12AD723E" w14:textId="77777777" w:rsidR="00EF4E88" w:rsidRPr="00806505" w:rsidRDefault="00EF4E88" w:rsidP="00F45213">
      <w:pPr>
        <w:pStyle w:val="headline1"/>
      </w:pPr>
      <w:bookmarkStart w:id="26" w:name="_Toc2579736"/>
      <w:bookmarkStart w:id="27" w:name="_Toc19192534"/>
      <w:bookmarkStart w:id="28" w:name="_Toc413748339"/>
      <w:bookmarkEnd w:id="22"/>
      <w:bookmarkEnd w:id="23"/>
      <w:r>
        <w:t>Pricing of cross zonal capacity</w:t>
      </w:r>
      <w:bookmarkEnd w:id="26"/>
      <w:bookmarkEnd w:id="27"/>
    </w:p>
    <w:p w14:paraId="770D82E9" w14:textId="6F1DDD7A" w:rsidR="00165C5B" w:rsidRDefault="00165C5B" w:rsidP="00647B80">
      <w:pPr>
        <w:pStyle w:val="textregular"/>
        <w:numPr>
          <w:ilvl w:val="0"/>
          <w:numId w:val="30"/>
        </w:numPr>
        <w:spacing w:line="276" w:lineRule="auto"/>
      </w:pPr>
      <w:r>
        <w:t xml:space="preserve">Each </w:t>
      </w:r>
      <w:r w:rsidR="00EC34F9">
        <w:t>BCC</w:t>
      </w:r>
      <w:r>
        <w:t xml:space="preserve"> allocating CZC for the exchange of balancing capacity or sharing of reserves applying the </w:t>
      </w:r>
      <w:r w:rsidR="0001667E">
        <w:t>allocation process based on economic efficiency analysis</w:t>
      </w:r>
      <w:r w:rsidR="00C2031F">
        <w:t xml:space="preserve"> </w:t>
      </w:r>
      <w:r w:rsidR="00D31210">
        <w:t>of</w:t>
      </w:r>
      <w:r w:rsidR="00C2031F">
        <w:t xml:space="preserve"> the CCR Core</w:t>
      </w:r>
      <w:r>
        <w:t xml:space="preserve"> shall calculate the CZC price for the volume of CZC that is allocated for the exchange of balancing capacity or sharing of reserves.</w:t>
      </w:r>
    </w:p>
    <w:p w14:paraId="67B13F20" w14:textId="445FBABE" w:rsidR="00C2031F" w:rsidRPr="00574EBE" w:rsidRDefault="00C2031F" w:rsidP="00C2031F">
      <w:pPr>
        <w:pStyle w:val="textregular"/>
        <w:numPr>
          <w:ilvl w:val="0"/>
          <w:numId w:val="30"/>
        </w:numPr>
        <w:spacing w:line="276" w:lineRule="auto"/>
      </w:pPr>
      <w:r w:rsidRPr="003D56F3">
        <w:rPr>
          <w:lang w:val="en-US"/>
        </w:rPr>
        <w:t xml:space="preserve">The price of CZC allocated for the exchange of balancing capacity </w:t>
      </w:r>
      <w:r>
        <w:rPr>
          <w:lang w:val="en-US"/>
        </w:rPr>
        <w:t xml:space="preserve">or sharing of reserves </w:t>
      </w:r>
      <w:r w:rsidRPr="003D56F3">
        <w:rPr>
          <w:lang w:val="en-US"/>
        </w:rPr>
        <w:t>shall be calculated separately for each MTU, bidding zone border and balancing capacity product</w:t>
      </w:r>
      <w:r>
        <w:rPr>
          <w:lang w:val="en-US"/>
        </w:rPr>
        <w:t xml:space="preserve">, i.e. </w:t>
      </w:r>
      <w:r w:rsidR="00D31210">
        <w:rPr>
          <w:lang w:val="en-US"/>
        </w:rPr>
        <w:t xml:space="preserve">separately for each </w:t>
      </w:r>
      <w:r w:rsidRPr="003D56F3">
        <w:rPr>
          <w:lang w:val="en-US"/>
        </w:rPr>
        <w:t>up</w:t>
      </w:r>
      <w:r w:rsidR="00D31210">
        <w:rPr>
          <w:lang w:val="en-US"/>
        </w:rPr>
        <w:t>ward</w:t>
      </w:r>
      <w:r w:rsidRPr="003D56F3">
        <w:rPr>
          <w:lang w:val="en-US"/>
        </w:rPr>
        <w:t xml:space="preserve"> and downward </w:t>
      </w:r>
      <w:r>
        <w:rPr>
          <w:lang w:val="en-US"/>
        </w:rPr>
        <w:t xml:space="preserve">standard </w:t>
      </w:r>
      <w:r w:rsidRPr="003D56F3">
        <w:rPr>
          <w:lang w:val="en-US"/>
        </w:rPr>
        <w:t xml:space="preserve">balancing capacity </w:t>
      </w:r>
      <w:r>
        <w:rPr>
          <w:lang w:val="en-US"/>
        </w:rPr>
        <w:t>product.</w:t>
      </w:r>
    </w:p>
    <w:p w14:paraId="5C6414BC" w14:textId="660A971F" w:rsidR="00165C5B" w:rsidRDefault="00C2031F" w:rsidP="00C2031F">
      <w:pPr>
        <w:pStyle w:val="textregular"/>
        <w:numPr>
          <w:ilvl w:val="0"/>
          <w:numId w:val="30"/>
        </w:numPr>
        <w:spacing w:line="276" w:lineRule="auto"/>
      </w:pPr>
      <w:r>
        <w:t xml:space="preserve">The price of the volume of CZC allocated for the exchange of balancing capacity or sharing of reserves applying this EE CZCA </w:t>
      </w:r>
      <w:r w:rsidR="008718E9">
        <w:t>methodology</w:t>
      </w:r>
      <w:r>
        <w:t xml:space="preserve"> shall be 0 EUR/MW within an uncongested area.</w:t>
      </w:r>
      <w:r w:rsidR="00165C5B">
        <w:t>.</w:t>
      </w:r>
    </w:p>
    <w:p w14:paraId="1C0E5D73" w14:textId="26D43249" w:rsidR="00EF4E88" w:rsidRDefault="00165C5B" w:rsidP="00647B80">
      <w:pPr>
        <w:pStyle w:val="textregular"/>
        <w:numPr>
          <w:ilvl w:val="0"/>
          <w:numId w:val="30"/>
        </w:numPr>
        <w:spacing w:line="276" w:lineRule="auto"/>
      </w:pPr>
      <w:r>
        <w:t xml:space="preserve">The CZC price resulting from the allocation of CZC for the exchange of balancing capacity or sharing of reserves applying the </w:t>
      </w:r>
      <w:r w:rsidR="0001667E">
        <w:t xml:space="preserve">allocation process based on economic efficiency analysis </w:t>
      </w:r>
      <w:r>
        <w:t xml:space="preserve">with pay-as-cleared for the TSO-BSP pricing shall correspond for each direction to the difference between the marginal prices of the standard product balancing capacity in each direction on each side of the </w:t>
      </w:r>
      <w:r w:rsidR="00D31210">
        <w:t>BZB</w:t>
      </w:r>
      <w:r>
        <w:t xml:space="preserve">. If the procured balancing capacity is not settled based on cross border marginal pricing, the price of CZC </w:t>
      </w:r>
      <w:r w:rsidR="00EC762B">
        <w:t xml:space="preserve">for the exchange of balancing capacity or sharing of reserves </w:t>
      </w:r>
      <w:r>
        <w:t>shall be based on the difference between the highest bid price of the accepted balancing capacity bids in each direction in each bidding zone.</w:t>
      </w:r>
    </w:p>
    <w:p w14:paraId="15061364" w14:textId="77777777" w:rsidR="00E20F29" w:rsidRDefault="00E20F29" w:rsidP="00E20F29">
      <w:pPr>
        <w:pStyle w:val="textregular"/>
        <w:spacing w:line="276" w:lineRule="auto"/>
        <w:ind w:left="720"/>
      </w:pPr>
    </w:p>
    <w:p w14:paraId="09F3A9EE" w14:textId="4F926D23" w:rsidR="00286E94" w:rsidRPr="00806505" w:rsidRDefault="00BB1049" w:rsidP="00F45213">
      <w:pPr>
        <w:pStyle w:val="headline1"/>
      </w:pPr>
      <w:bookmarkStart w:id="29" w:name="_Toc19192535"/>
      <w:r>
        <w:t>Firmness</w:t>
      </w:r>
      <w:r w:rsidR="00286E94">
        <w:t xml:space="preserve"> regime</w:t>
      </w:r>
      <w:r w:rsidR="00EF4E88">
        <w:t xml:space="preserve"> of cross zonal capacity</w:t>
      </w:r>
      <w:bookmarkEnd w:id="29"/>
    </w:p>
    <w:p w14:paraId="00ADD62D" w14:textId="3599DEEE" w:rsidR="00E27321" w:rsidRPr="00E27321" w:rsidRDefault="00E27321" w:rsidP="00647B80">
      <w:pPr>
        <w:pStyle w:val="textregular"/>
        <w:numPr>
          <w:ilvl w:val="0"/>
          <w:numId w:val="31"/>
        </w:numPr>
        <w:spacing w:line="276" w:lineRule="auto"/>
        <w:rPr>
          <w:lang w:val="en-US"/>
        </w:rPr>
      </w:pPr>
      <w:r w:rsidRPr="00E27321">
        <w:rPr>
          <w:lang w:val="en-US"/>
        </w:rPr>
        <w:t xml:space="preserve">The allocated CZC for the exchange of balancing capacity or sharing of reserves shall be firm after the selection of standard upward balancing capacity bids or standard downward balancing capacity bids by the capacity procurement optimisation function pursuant to </w:t>
      </w:r>
      <w:r w:rsidR="00735F4C">
        <w:rPr>
          <w:lang w:val="en-US"/>
        </w:rPr>
        <w:t>article</w:t>
      </w:r>
      <w:r w:rsidRPr="00E27321">
        <w:rPr>
          <w:lang w:val="en-US"/>
        </w:rPr>
        <w:t xml:space="preserve"> 33(3) of the EBGL. </w:t>
      </w:r>
    </w:p>
    <w:p w14:paraId="27FE19CC" w14:textId="46281638" w:rsidR="00E27321" w:rsidRPr="00E27321" w:rsidRDefault="00E27321" w:rsidP="00647B80">
      <w:pPr>
        <w:pStyle w:val="textregular"/>
        <w:numPr>
          <w:ilvl w:val="0"/>
          <w:numId w:val="31"/>
        </w:numPr>
        <w:spacing w:line="276" w:lineRule="auto"/>
        <w:rPr>
          <w:lang w:val="en-US"/>
        </w:rPr>
      </w:pPr>
      <w:r w:rsidRPr="00E27321">
        <w:rPr>
          <w:lang w:val="en-US"/>
        </w:rPr>
        <w:t xml:space="preserve">According to </w:t>
      </w:r>
      <w:r w:rsidR="00735F4C">
        <w:rPr>
          <w:lang w:val="en-US"/>
        </w:rPr>
        <w:t>article</w:t>
      </w:r>
      <w:r w:rsidRPr="00E27321">
        <w:rPr>
          <w:lang w:val="en-US"/>
        </w:rPr>
        <w:t xml:space="preserve"> 38(9) of the EBGL, when CZC allocated for the exchange of balancing capacity or sharing of reserves has not been used for the associated exchange of balancing energy, </w:t>
      </w:r>
      <w:r w:rsidR="00D31210">
        <w:rPr>
          <w:lang w:val="en-US"/>
        </w:rPr>
        <w:t xml:space="preserve">of the product it was allocated for, </w:t>
      </w:r>
      <w:r w:rsidRPr="00E27321">
        <w:rPr>
          <w:lang w:val="en-US"/>
        </w:rPr>
        <w:t xml:space="preserve">it shall </w:t>
      </w:r>
      <w:r w:rsidR="00E7105B">
        <w:rPr>
          <w:lang w:val="en-US"/>
        </w:rPr>
        <w:t xml:space="preserve">be released </w:t>
      </w:r>
      <w:r w:rsidR="00EC762B">
        <w:rPr>
          <w:lang w:val="en-US"/>
        </w:rPr>
        <w:t xml:space="preserve">to all TSOs </w:t>
      </w:r>
      <w:r w:rsidR="00E7105B">
        <w:rPr>
          <w:lang w:val="en-US"/>
        </w:rPr>
        <w:t xml:space="preserve">for the exchange of balancing energy </w:t>
      </w:r>
      <w:r w:rsidR="00D31210">
        <w:rPr>
          <w:lang w:val="en-US"/>
        </w:rPr>
        <w:t xml:space="preserve">for the same product if possible, and at least it shall be released to all European TSOs for the exchange </w:t>
      </w:r>
      <w:r w:rsidR="005C24F2">
        <w:rPr>
          <w:lang w:val="en-US"/>
        </w:rPr>
        <w:t xml:space="preserve">of balancing energy </w:t>
      </w:r>
      <w:r w:rsidR="00EC762B">
        <w:rPr>
          <w:lang w:val="en-US"/>
        </w:rPr>
        <w:t>with shorter activation times or for operating the imbalance netting process</w:t>
      </w:r>
      <w:r w:rsidR="005C24F2">
        <w:rPr>
          <w:lang w:val="en-US"/>
        </w:rPr>
        <w:t xml:space="preserve"> according to articles 19-22 of the EBGL</w:t>
      </w:r>
      <w:r w:rsidR="00EC762B">
        <w:rPr>
          <w:lang w:val="en-US"/>
        </w:rPr>
        <w:t>.</w:t>
      </w:r>
      <w:r w:rsidR="005C24F2">
        <w:rPr>
          <w:lang w:val="en-US"/>
        </w:rPr>
        <w:t xml:space="preserve"> Each BCC shall at any time inform all Core TSOs, on who is the holder of the allocated capacity.</w:t>
      </w:r>
    </w:p>
    <w:p w14:paraId="0E465031" w14:textId="407472A1" w:rsidR="00E27321" w:rsidRPr="00E27321" w:rsidRDefault="005C43B1" w:rsidP="00647B80">
      <w:pPr>
        <w:pStyle w:val="textregular"/>
        <w:numPr>
          <w:ilvl w:val="0"/>
          <w:numId w:val="31"/>
        </w:numPr>
        <w:spacing w:line="276" w:lineRule="auto"/>
        <w:rPr>
          <w:lang w:val="en-US"/>
        </w:rPr>
      </w:pPr>
      <w:r>
        <w:rPr>
          <w:lang w:val="en-US"/>
        </w:rPr>
        <w:t>The c</w:t>
      </w:r>
      <w:proofErr w:type="spellStart"/>
      <w:r w:rsidRPr="006E195C">
        <w:t>osts</w:t>
      </w:r>
      <w:proofErr w:type="spellEnd"/>
      <w:r w:rsidRPr="006E195C">
        <w:t xml:space="preserve"> of ensuring firmness or in the case of curtailment of firm CZC in the event of force majeure or emergency situation</w:t>
      </w:r>
      <w:r>
        <w:t xml:space="preserve">s, in accordance with </w:t>
      </w:r>
      <w:r w:rsidR="005C24F2">
        <w:t>Article 11(1)</w:t>
      </w:r>
      <w:r w:rsidRPr="006E195C">
        <w:t xml:space="preserve">, </w:t>
      </w:r>
      <w:r>
        <w:t xml:space="preserve">the costs associated with mitigating the effects of curtailment </w:t>
      </w:r>
      <w:r w:rsidRPr="006E195C">
        <w:t xml:space="preserve">shall be borne by the relevant </w:t>
      </w:r>
      <w:r w:rsidR="005C24F2">
        <w:t xml:space="preserve">Core </w:t>
      </w:r>
      <w:r w:rsidRPr="006E195C">
        <w:t>TSOs</w:t>
      </w:r>
      <w:r w:rsidR="00EC762B">
        <w:t xml:space="preserve"> of the </w:t>
      </w:r>
      <w:r w:rsidR="002E3F3F">
        <w:t>BCC</w:t>
      </w:r>
      <w:r w:rsidRPr="006E195C">
        <w:t xml:space="preserve">. These costs include the additional costs from the procurement of </w:t>
      </w:r>
      <w:r>
        <w:t xml:space="preserve">balancing </w:t>
      </w:r>
      <w:r w:rsidRPr="006E195C">
        <w:t>capacity due to the non-availability of the balancing capacity given the curtailment of CZ</w:t>
      </w:r>
      <w:r>
        <w:t xml:space="preserve">C. Each </w:t>
      </w:r>
      <w:r w:rsidRPr="003B69F3">
        <w:t xml:space="preserve">TSOs </w:t>
      </w:r>
      <w:r>
        <w:t>shall</w:t>
      </w:r>
      <w:r w:rsidRPr="003B69F3">
        <w:t xml:space="preserve"> be entitled to set a cost compensation cap</w:t>
      </w:r>
      <w:r>
        <w:t>.</w:t>
      </w:r>
    </w:p>
    <w:p w14:paraId="119804E9" w14:textId="17722E39" w:rsidR="006E195C" w:rsidRDefault="005C24F2" w:rsidP="00647B80">
      <w:pPr>
        <w:pStyle w:val="textregular"/>
        <w:numPr>
          <w:ilvl w:val="0"/>
          <w:numId w:val="31"/>
        </w:numPr>
        <w:spacing w:line="276" w:lineRule="auto"/>
        <w:rPr>
          <w:lang w:val="en-US"/>
        </w:rPr>
      </w:pPr>
      <w:r>
        <w:rPr>
          <w:lang w:val="en-US"/>
        </w:rPr>
        <w:t xml:space="preserve">Core </w:t>
      </w:r>
      <w:r w:rsidR="00E27321" w:rsidRPr="00E27321">
        <w:rPr>
          <w:lang w:val="en-US"/>
        </w:rPr>
        <w:t xml:space="preserve">TSOs shall not increase the reliability margin calculated pursuant to </w:t>
      </w:r>
      <w:r w:rsidR="00735F4C">
        <w:rPr>
          <w:lang w:val="en-US"/>
        </w:rPr>
        <w:t>article</w:t>
      </w:r>
      <w:r w:rsidR="00E27321" w:rsidRPr="00E27321">
        <w:rPr>
          <w:lang w:val="en-US"/>
        </w:rPr>
        <w:t xml:space="preserve"> 21 of </w:t>
      </w:r>
      <w:r w:rsidR="008718E9">
        <w:rPr>
          <w:lang w:val="en-US"/>
        </w:rPr>
        <w:t>CACMGL</w:t>
      </w:r>
      <w:r w:rsidR="00E27321" w:rsidRPr="00E27321">
        <w:rPr>
          <w:lang w:val="en-US"/>
        </w:rPr>
        <w:t xml:space="preserve"> due to the exchange of balancing capacity and or sharing of reserves for frequency restoration reserves and replacement reserves. </w:t>
      </w:r>
    </w:p>
    <w:p w14:paraId="0AA17DAB" w14:textId="77777777" w:rsidR="00E20F29" w:rsidRPr="00E27321" w:rsidRDefault="00E20F29" w:rsidP="00E20F29">
      <w:pPr>
        <w:pStyle w:val="textregular"/>
        <w:spacing w:line="276" w:lineRule="auto"/>
        <w:ind w:left="720"/>
        <w:rPr>
          <w:lang w:val="en-US"/>
        </w:rPr>
      </w:pPr>
    </w:p>
    <w:p w14:paraId="5EFACCED" w14:textId="12640306" w:rsidR="00286E94" w:rsidRDefault="00BB1049" w:rsidP="00F45213">
      <w:pPr>
        <w:pStyle w:val="headline1"/>
      </w:pPr>
      <w:bookmarkStart w:id="30" w:name="_Toc19192536"/>
      <w:r>
        <w:t>S</w:t>
      </w:r>
      <w:r w:rsidR="00286E94">
        <w:t>haring of congestion income</w:t>
      </w:r>
      <w:r w:rsidR="00EF4E88">
        <w:t xml:space="preserve"> from </w:t>
      </w:r>
      <w:r w:rsidR="002E3F3F">
        <w:t>cross-</w:t>
      </w:r>
      <w:r w:rsidR="00EF4E88">
        <w:t>zonal capacity</w:t>
      </w:r>
      <w:bookmarkEnd w:id="30"/>
    </w:p>
    <w:p w14:paraId="4403C93D" w14:textId="21D4A724" w:rsidR="00EC762B" w:rsidRDefault="00EC762B" w:rsidP="00EC762B">
      <w:pPr>
        <w:pStyle w:val="textregular"/>
        <w:numPr>
          <w:ilvl w:val="0"/>
          <w:numId w:val="47"/>
        </w:numPr>
        <w:spacing w:line="276" w:lineRule="auto"/>
      </w:pPr>
      <w:r>
        <w:t xml:space="preserve">Congestion income generated by the allocation of CZC for the exchange of balancing capacity or sharing of reserves shall be shared with the congestion income distribution process of the CCR Core in accordance with the methodology based on </w:t>
      </w:r>
      <w:r w:rsidR="00735F4C">
        <w:t>article</w:t>
      </w:r>
      <w:r>
        <w:t> 73 of Regulation (EU) 2015/1222.</w:t>
      </w:r>
    </w:p>
    <w:p w14:paraId="5A14D9D1" w14:textId="4CA8C0AA" w:rsidR="00EC762B" w:rsidRDefault="00EC762B" w:rsidP="00EC762B">
      <w:pPr>
        <w:pStyle w:val="textregular"/>
        <w:numPr>
          <w:ilvl w:val="0"/>
          <w:numId w:val="47"/>
        </w:numPr>
        <w:spacing w:line="276" w:lineRule="auto"/>
      </w:pPr>
      <w:r>
        <w:t xml:space="preserve">The amount of congestion income to be shared with the day-ahead congestion income process of the CCR Core is determined as the sum of the congestion income determined for each BZB of the </w:t>
      </w:r>
      <w:r w:rsidR="00EC34F9">
        <w:t>BCC</w:t>
      </w:r>
      <w:r>
        <w:t xml:space="preserve"> </w:t>
      </w:r>
      <w:r w:rsidR="005C24F2">
        <w:t>as set out in Article 12(3)</w:t>
      </w:r>
      <w:r>
        <w:t>.</w:t>
      </w:r>
    </w:p>
    <w:p w14:paraId="6CF5088E" w14:textId="511AA4D7" w:rsidR="00EC762B" w:rsidRDefault="00EC762B" w:rsidP="00EC762B">
      <w:pPr>
        <w:pStyle w:val="textregular"/>
        <w:numPr>
          <w:ilvl w:val="0"/>
          <w:numId w:val="47"/>
        </w:numPr>
        <w:spacing w:line="276" w:lineRule="auto"/>
      </w:pPr>
      <w:r>
        <w:t xml:space="preserve">For each MTU of SDAC and for each BZB of the </w:t>
      </w:r>
      <w:r w:rsidR="00EC34F9">
        <w:t>BCC</w:t>
      </w:r>
      <w:r>
        <w:t xml:space="preserve">, the allocated CZC for the exchange of balancing capacity or sharing of reserves shall be multiplied with the actual day-ahead </w:t>
      </w:r>
      <w:r w:rsidR="005C24F2">
        <w:t>m</w:t>
      </w:r>
      <w:r>
        <w:t xml:space="preserve">arket </w:t>
      </w:r>
      <w:r w:rsidR="005C24F2">
        <w:t>s</w:t>
      </w:r>
      <w:r>
        <w:t xml:space="preserve">pread at the concerned BZB and </w:t>
      </w:r>
      <w:r w:rsidR="005C24F2">
        <w:t xml:space="preserve">the </w:t>
      </w:r>
      <w:r>
        <w:t>direction for the concerned MTU resulting from the SDAC only in case the price difference is positive in the direction of the allocated CZC for the exchange of balancing capacity or sharing of reserves per MTU of SDAC</w:t>
      </w:r>
      <w:r w:rsidR="005C24F2">
        <w:t>. Otherwise, the congestion income is</w:t>
      </w:r>
      <w:r>
        <w:t xml:space="preserve"> 0 EUR/MWh.</w:t>
      </w:r>
    </w:p>
    <w:p w14:paraId="0F56236E" w14:textId="0B23E20D" w:rsidR="00EC762B" w:rsidRDefault="00EC762B" w:rsidP="00EC762B">
      <w:pPr>
        <w:pStyle w:val="textregular"/>
        <w:numPr>
          <w:ilvl w:val="0"/>
          <w:numId w:val="47"/>
        </w:numPr>
        <w:spacing w:line="276" w:lineRule="auto"/>
      </w:pPr>
      <w:r>
        <w:t xml:space="preserve">Remaining congestion income generated by the allocation of CZC for the exchange of balancing capacity or sharing of reserves after the parts as determined per MTU of SDAC in accordance with </w:t>
      </w:r>
      <w:r w:rsidR="005C24F2">
        <w:t>Article 12(2) and (3)</w:t>
      </w:r>
      <w:r>
        <w:t xml:space="preserve"> shall be collected on a </w:t>
      </w:r>
      <w:r w:rsidR="005C24F2">
        <w:t>separate</w:t>
      </w:r>
      <w:r>
        <w:t xml:space="preserve"> account. This account is to be established and operated by the respective </w:t>
      </w:r>
      <w:r w:rsidR="005C24F2">
        <w:t xml:space="preserve">Core </w:t>
      </w:r>
      <w:r>
        <w:t xml:space="preserve">TSOs of each </w:t>
      </w:r>
      <w:r w:rsidR="00EC34F9">
        <w:t>BCC</w:t>
      </w:r>
      <w:r>
        <w:t xml:space="preserve">. Related costs are to be borne by the respective </w:t>
      </w:r>
      <w:r w:rsidR="005C24F2">
        <w:t xml:space="preserve">Core </w:t>
      </w:r>
      <w:r>
        <w:t xml:space="preserve">TSOs of each </w:t>
      </w:r>
      <w:r w:rsidR="00EC34F9">
        <w:t>BCC</w:t>
      </w:r>
      <w:r>
        <w:t>.</w:t>
      </w:r>
    </w:p>
    <w:p w14:paraId="7699DF8A" w14:textId="7927DE24" w:rsidR="00EC762B" w:rsidRDefault="00EC762B" w:rsidP="00EC762B">
      <w:pPr>
        <w:pStyle w:val="textregular"/>
        <w:numPr>
          <w:ilvl w:val="0"/>
          <w:numId w:val="47"/>
        </w:numPr>
        <w:spacing w:line="276" w:lineRule="auto"/>
      </w:pPr>
      <w:r>
        <w:t xml:space="preserve">If the congestion income generated by the allocation of CZC for the exchange of balancing capacity or sharing of reserves as determined per MTU of SDAC in accordance with </w:t>
      </w:r>
      <w:r w:rsidR="005C24F2">
        <w:t xml:space="preserve">Article 12(2) and (3) </w:t>
      </w:r>
      <w:r>
        <w:t>is not sufficient to provide enough money to share required congestion income with the day-ahead congestion income process of the CCR Core, missing money shall be balanced with remaining congestion income from other MTUs of SDAC within the consolidation period.</w:t>
      </w:r>
    </w:p>
    <w:p w14:paraId="0821B443" w14:textId="5D031A62" w:rsidR="00EC762B" w:rsidRDefault="00EC762B" w:rsidP="00EC762B">
      <w:pPr>
        <w:pStyle w:val="textregular"/>
        <w:numPr>
          <w:ilvl w:val="0"/>
          <w:numId w:val="47"/>
        </w:numPr>
        <w:spacing w:line="276" w:lineRule="auto"/>
        <w:rPr>
          <w:lang w:val="en-US"/>
        </w:rPr>
      </w:pPr>
      <w:r>
        <w:t xml:space="preserve">If at the end of the consolidation period a surplus remains on the </w:t>
      </w:r>
      <w:r w:rsidR="005C24F2">
        <w:t>separate</w:t>
      </w:r>
      <w:r>
        <w:t xml:space="preserve"> account, </w:t>
      </w:r>
      <w:r>
        <w:rPr>
          <w:lang w:val="en-US"/>
        </w:rPr>
        <w:t xml:space="preserve">it shall be assigned to relevant BZBs of the </w:t>
      </w:r>
      <w:r w:rsidR="00EC34F9">
        <w:t>BCC</w:t>
      </w:r>
      <w:r>
        <w:rPr>
          <w:lang w:val="en-US"/>
        </w:rPr>
        <w:t xml:space="preserve"> on pro-rata basis according to the congestion income originally generated by the exchange of balancing capacity or sharing of reserves.</w:t>
      </w:r>
    </w:p>
    <w:p w14:paraId="100D1D06" w14:textId="46575EB5" w:rsidR="00EC762B" w:rsidRDefault="00EC762B" w:rsidP="00EC762B">
      <w:pPr>
        <w:pStyle w:val="textregular"/>
        <w:numPr>
          <w:ilvl w:val="0"/>
          <w:numId w:val="47"/>
        </w:numPr>
        <w:spacing w:line="276" w:lineRule="auto"/>
        <w:rPr>
          <w:lang w:val="en-US"/>
        </w:rPr>
      </w:pPr>
      <w:r>
        <w:rPr>
          <w:lang w:val="en-US"/>
        </w:rPr>
        <w:t xml:space="preserve">If at the end of </w:t>
      </w:r>
      <w:r>
        <w:t xml:space="preserve">of the consolidation period a deficit remains on the </w:t>
      </w:r>
      <w:r w:rsidR="005C24F2">
        <w:t>separate</w:t>
      </w:r>
      <w:r>
        <w:t xml:space="preserve"> account, the deficit shall be equally borne by the </w:t>
      </w:r>
      <w:r w:rsidR="005C24F2">
        <w:t xml:space="preserve">Core </w:t>
      </w:r>
      <w:r>
        <w:t xml:space="preserve">TSOs </w:t>
      </w:r>
      <w:r>
        <w:rPr>
          <w:lang w:val="en-US"/>
        </w:rPr>
        <w:t xml:space="preserve">of the </w:t>
      </w:r>
      <w:r w:rsidR="00EC34F9">
        <w:t>BCC</w:t>
      </w:r>
      <w:r>
        <w:t>.</w:t>
      </w:r>
    </w:p>
    <w:p w14:paraId="621F28DF" w14:textId="20D92A29" w:rsidR="00EC762B" w:rsidRPr="00B53206" w:rsidRDefault="00EC762B" w:rsidP="00EC762B">
      <w:pPr>
        <w:pStyle w:val="textregular"/>
        <w:numPr>
          <w:ilvl w:val="0"/>
          <w:numId w:val="46"/>
        </w:numPr>
        <w:spacing w:line="276" w:lineRule="auto"/>
        <w:rPr>
          <w:lang w:val="en-US"/>
        </w:rPr>
      </w:pPr>
      <w:r w:rsidRPr="00B53206">
        <w:rPr>
          <w:lang w:val="en-US"/>
        </w:rPr>
        <w:t xml:space="preserve">For the </w:t>
      </w:r>
      <w:r w:rsidR="005C24F2">
        <w:rPr>
          <w:lang w:val="en-US"/>
        </w:rPr>
        <w:t>BZB</w:t>
      </w:r>
      <w:r w:rsidRPr="00B53206">
        <w:rPr>
          <w:lang w:val="en-US"/>
        </w:rPr>
        <w:t xml:space="preserve"> where congestion income results from the exchange of balancing capacity or sharing of reserves, the </w:t>
      </w:r>
      <w:r w:rsidR="005C24F2">
        <w:rPr>
          <w:lang w:val="en-US"/>
        </w:rPr>
        <w:t xml:space="preserve">Core </w:t>
      </w:r>
      <w:r w:rsidRPr="00B53206">
        <w:rPr>
          <w:lang w:val="en-US"/>
        </w:rPr>
        <w:t xml:space="preserve">TSOs on each side of the </w:t>
      </w:r>
      <w:r>
        <w:rPr>
          <w:lang w:val="en-US"/>
        </w:rPr>
        <w:t>BZB</w:t>
      </w:r>
      <w:r w:rsidRPr="00B53206">
        <w:rPr>
          <w:lang w:val="en-US"/>
        </w:rPr>
        <w:t xml:space="preserve"> shall receive their share of net border balancing income based on a 50%-50% sharing key.</w:t>
      </w:r>
    </w:p>
    <w:p w14:paraId="606FEDF8" w14:textId="1D69FCAC" w:rsidR="00EC762B" w:rsidRPr="00B53206" w:rsidRDefault="00EC762B" w:rsidP="00727E1B">
      <w:pPr>
        <w:pStyle w:val="textregular"/>
        <w:numPr>
          <w:ilvl w:val="0"/>
          <w:numId w:val="46"/>
        </w:numPr>
        <w:spacing w:line="276" w:lineRule="auto"/>
        <w:rPr>
          <w:lang w:val="en-US"/>
        </w:rPr>
      </w:pPr>
      <w:r w:rsidRPr="00B53206">
        <w:rPr>
          <w:lang w:val="en-US"/>
        </w:rPr>
        <w:t xml:space="preserve">In cases where the ownership shares or the shares of investments costs of </w:t>
      </w:r>
      <w:r w:rsidR="005C24F2">
        <w:rPr>
          <w:lang w:val="en-US"/>
        </w:rPr>
        <w:t xml:space="preserve">Core </w:t>
      </w:r>
      <w:r w:rsidRPr="00B53206">
        <w:rPr>
          <w:lang w:val="en-US"/>
        </w:rPr>
        <w:t xml:space="preserve">TSOs on both sides of specific interconnectors on the concerned </w:t>
      </w:r>
      <w:r>
        <w:rPr>
          <w:lang w:val="en-US"/>
        </w:rPr>
        <w:t>BZBs</w:t>
      </w:r>
      <w:r w:rsidRPr="00B53206">
        <w:rPr>
          <w:lang w:val="en-US"/>
        </w:rPr>
        <w:t xml:space="preserve"> are different from a 50%-50% split, the concerned</w:t>
      </w:r>
      <w:r w:rsidR="005C24F2">
        <w:rPr>
          <w:lang w:val="en-US"/>
        </w:rPr>
        <w:t xml:space="preserve"> Core</w:t>
      </w:r>
      <w:r w:rsidRPr="00B53206">
        <w:rPr>
          <w:lang w:val="en-US"/>
        </w:rPr>
        <w:t xml:space="preserve"> TSOs may also use a sharing key due to the different ownership shares, different shares of investments costs, exemption decisions</w:t>
      </w:r>
      <w:r w:rsidRPr="00727E1B">
        <w:rPr>
          <w:lang w:val="en-US"/>
        </w:rPr>
        <w:footnoteReference w:id="2"/>
      </w:r>
      <w:r w:rsidRPr="00B53206">
        <w:rPr>
          <w:lang w:val="en-US"/>
        </w:rPr>
        <w:t xml:space="preserve"> or decisions on cross-border cost allocation</w:t>
      </w:r>
      <w:r w:rsidRPr="00727E1B">
        <w:rPr>
          <w:lang w:val="en-US"/>
        </w:rPr>
        <w:footnoteReference w:id="3"/>
      </w:r>
      <w:r w:rsidRPr="00B53206">
        <w:rPr>
          <w:lang w:val="en-US"/>
        </w:rPr>
        <w:t xml:space="preserve"> by competent NRAs or the Agency. The sharing keys for these specific cases shall be published in a common document by ENTSO-E on its web page for information purposes only. This document shall list all these specific cases with the name of the interconnector, the </w:t>
      </w:r>
      <w:r>
        <w:rPr>
          <w:lang w:val="en-US"/>
        </w:rPr>
        <w:t>BZB</w:t>
      </w:r>
      <w:r w:rsidRPr="00B53206">
        <w:rPr>
          <w:lang w:val="en-US"/>
        </w:rPr>
        <w:t>, the involved TSOs/Parties, the specific sharing key applied and the motivation / reasons for the deviation from the 50%-50% sharing key. The document shall be updated and published promptly as soon as any changes occur. Each publication shall be announced in an ENTSO-E’s newsletter.</w:t>
      </w:r>
    </w:p>
    <w:p w14:paraId="41091FB5" w14:textId="33D1E5CD" w:rsidR="00EC762B" w:rsidRPr="00727E1B" w:rsidRDefault="00EC762B" w:rsidP="00727E1B">
      <w:pPr>
        <w:pStyle w:val="textregular"/>
        <w:numPr>
          <w:ilvl w:val="0"/>
          <w:numId w:val="46"/>
        </w:numPr>
        <w:spacing w:line="276" w:lineRule="auto"/>
        <w:rPr>
          <w:lang w:val="en-US"/>
        </w:rPr>
      </w:pPr>
      <w:r w:rsidRPr="00727E1B">
        <w:rPr>
          <w:lang w:val="en-US"/>
        </w:rPr>
        <w:t xml:space="preserve">In case the BZB consists of several interconnectors with different sharing keys, on which are owned by different </w:t>
      </w:r>
      <w:r w:rsidR="00083281" w:rsidRPr="00727E1B">
        <w:rPr>
          <w:lang w:val="en-US"/>
        </w:rPr>
        <w:t xml:space="preserve">Core </w:t>
      </w:r>
      <w:r w:rsidRPr="00727E1B">
        <w:rPr>
          <w:lang w:val="en-US"/>
        </w:rPr>
        <w:t>TSOs, the net border balancing capac</w:t>
      </w:r>
      <w:r w:rsidR="00083281" w:rsidRPr="00727E1B">
        <w:rPr>
          <w:lang w:val="en-US"/>
        </w:rPr>
        <w:t>i</w:t>
      </w:r>
      <w:r w:rsidRPr="00727E1B">
        <w:rPr>
          <w:lang w:val="en-US"/>
        </w:rPr>
        <w:t xml:space="preserve">ty </w:t>
      </w:r>
      <w:r w:rsidR="00A14797" w:rsidRPr="00727E1B">
        <w:rPr>
          <w:lang w:val="en-US"/>
        </w:rPr>
        <w:t xml:space="preserve">congestion </w:t>
      </w:r>
      <w:r w:rsidRPr="00727E1B">
        <w:rPr>
          <w:lang w:val="en-US"/>
        </w:rPr>
        <w:t xml:space="preserve">income shall be assigned first to the respective interconnectors on that BZB based on each interconnector’s contribution to the allocated CZC. The parameters defining the contribution of each interconnector will be agreed by the </w:t>
      </w:r>
      <w:r w:rsidR="00083281" w:rsidRPr="00727E1B">
        <w:rPr>
          <w:lang w:val="en-US"/>
        </w:rPr>
        <w:t xml:space="preserve">Core </w:t>
      </w:r>
      <w:r w:rsidRPr="00727E1B">
        <w:rPr>
          <w:lang w:val="en-US"/>
        </w:rPr>
        <w:t xml:space="preserve">TSOs on the BZB. They shall be published in a common document by ENTSO-E on its web page for information purposes only. The document shall be updated and published promptly as soon as any changes occur. Each publication shall be announced in an ENTSO-E’s newsletter. The balancing capacity congestion income assigned to each interconnector shall subsequently be shared between the </w:t>
      </w:r>
      <w:r w:rsidR="00A14797" w:rsidRPr="00727E1B">
        <w:rPr>
          <w:lang w:val="en-US"/>
        </w:rPr>
        <w:t xml:space="preserve">Core </w:t>
      </w:r>
      <w:r w:rsidRPr="00727E1B">
        <w:rPr>
          <w:lang w:val="en-US"/>
        </w:rPr>
        <w:t xml:space="preserve">TSOs on each side of the interconnector using the principles described in </w:t>
      </w:r>
      <w:r w:rsidR="00A14797" w:rsidRPr="00727E1B">
        <w:rPr>
          <w:lang w:val="en-US"/>
        </w:rPr>
        <w:t>Article 12(3) and (4)</w:t>
      </w:r>
      <w:r w:rsidRPr="00727E1B">
        <w:rPr>
          <w:lang w:val="en-US"/>
        </w:rPr>
        <w:t>.</w:t>
      </w:r>
    </w:p>
    <w:p w14:paraId="161229B7" w14:textId="05492360" w:rsidR="00EC762B" w:rsidRPr="00727E1B" w:rsidRDefault="00EC762B" w:rsidP="00727E1B">
      <w:pPr>
        <w:pStyle w:val="textregular"/>
        <w:numPr>
          <w:ilvl w:val="0"/>
          <w:numId w:val="46"/>
        </w:numPr>
        <w:spacing w:line="276" w:lineRule="auto"/>
        <w:rPr>
          <w:lang w:val="en-US"/>
        </w:rPr>
      </w:pPr>
      <w:r w:rsidRPr="00727E1B">
        <w:rPr>
          <w:lang w:val="en-US"/>
        </w:rPr>
        <w:t xml:space="preserve">In case specific interconnectors are owned by entities other than </w:t>
      </w:r>
      <w:r w:rsidR="00A14797" w:rsidRPr="00727E1B">
        <w:rPr>
          <w:lang w:val="en-US"/>
        </w:rPr>
        <w:t xml:space="preserve">Core </w:t>
      </w:r>
      <w:r w:rsidRPr="00727E1B">
        <w:rPr>
          <w:lang w:val="en-US"/>
        </w:rPr>
        <w:t xml:space="preserve">TSOs, the reference to TSOs in this article shall be understood as referring to those entities. </w:t>
      </w:r>
    </w:p>
    <w:p w14:paraId="3AADAED9" w14:textId="76314973" w:rsidR="00E20F29" w:rsidRPr="00E27321" w:rsidRDefault="00E20F29" w:rsidP="009F1102">
      <w:pPr>
        <w:pStyle w:val="textregular"/>
        <w:spacing w:line="276" w:lineRule="auto"/>
        <w:ind w:left="720"/>
        <w:rPr>
          <w:b/>
          <w:i/>
          <w:highlight w:val="yellow"/>
        </w:rPr>
      </w:pPr>
    </w:p>
    <w:p w14:paraId="207848AE" w14:textId="77777777" w:rsidR="00EF4E88" w:rsidRDefault="00EF4E88" w:rsidP="00F45213">
      <w:pPr>
        <w:pStyle w:val="headline1"/>
      </w:pPr>
      <w:bookmarkStart w:id="31" w:name="_Toc19192537"/>
      <w:bookmarkStart w:id="32" w:name="_Toc432586786"/>
      <w:bookmarkStart w:id="33" w:name="_Toc432586806"/>
      <w:bookmarkStart w:id="34" w:name="_Toc505249299"/>
      <w:r>
        <w:t>Publication</w:t>
      </w:r>
      <w:bookmarkEnd w:id="31"/>
    </w:p>
    <w:p w14:paraId="4561646A" w14:textId="293C107B" w:rsidR="00D12A68" w:rsidRDefault="00221665" w:rsidP="00647B80">
      <w:pPr>
        <w:pStyle w:val="textregular"/>
        <w:numPr>
          <w:ilvl w:val="0"/>
          <w:numId w:val="38"/>
        </w:numPr>
        <w:spacing w:line="276" w:lineRule="auto"/>
      </w:pPr>
      <w:r w:rsidRPr="009F1102">
        <w:rPr>
          <w:bCs/>
          <w:iCs/>
        </w:rPr>
        <w:t>Core</w:t>
      </w:r>
      <w:r w:rsidR="00D12A68">
        <w:t xml:space="preserve"> TSOs of </w:t>
      </w:r>
      <w:r w:rsidR="00A14797">
        <w:t xml:space="preserve">each </w:t>
      </w:r>
      <w:r w:rsidR="00EC34F9">
        <w:t>BCC</w:t>
      </w:r>
      <w:r w:rsidR="00D12A68">
        <w:t xml:space="preserve"> shall publish the </w:t>
      </w:r>
      <w:r w:rsidR="00193ECF">
        <w:t xml:space="preserve">EE CZCA </w:t>
      </w:r>
      <w:r w:rsidR="008718E9">
        <w:t>methodology</w:t>
      </w:r>
      <w:r w:rsidR="00D12A68">
        <w:t xml:space="preserve"> without undue delay after </w:t>
      </w:r>
      <w:r w:rsidR="00A14797">
        <w:t xml:space="preserve">the approval by the </w:t>
      </w:r>
      <w:r w:rsidR="00D12A68">
        <w:t xml:space="preserve">concerned </w:t>
      </w:r>
      <w:r w:rsidR="00A14797">
        <w:t xml:space="preserve">Core </w:t>
      </w:r>
      <w:r w:rsidR="00D12A68">
        <w:t xml:space="preserve">NRAs or a decision has been taken by the Agency in accordance with </w:t>
      </w:r>
      <w:r w:rsidR="00735F4C">
        <w:t>article</w:t>
      </w:r>
      <w:r w:rsidR="00D12A68">
        <w:t xml:space="preserve"> 5(7), </w:t>
      </w:r>
      <w:r w:rsidR="00735F4C">
        <w:t>article</w:t>
      </w:r>
      <w:r w:rsidR="00D12A68">
        <w:t xml:space="preserve"> 6(1) and </w:t>
      </w:r>
      <w:r w:rsidR="00735F4C">
        <w:t>article</w:t>
      </w:r>
      <w:r w:rsidR="00D12A68">
        <w:t xml:space="preserve"> 6(2) of the EBGL.</w:t>
      </w:r>
    </w:p>
    <w:p w14:paraId="2614611E" w14:textId="678BF7A8" w:rsidR="00D12A68" w:rsidRDefault="00D12A68" w:rsidP="00647B80">
      <w:pPr>
        <w:pStyle w:val="ListParagraph"/>
        <w:numPr>
          <w:ilvl w:val="0"/>
          <w:numId w:val="38"/>
        </w:numPr>
        <w:spacing w:after="120" w:line="276" w:lineRule="auto"/>
        <w:contextualSpacing w:val="0"/>
        <w:rPr>
          <w:lang w:val="en-GB"/>
        </w:rPr>
      </w:pPr>
      <w:r w:rsidRPr="00D12A68">
        <w:rPr>
          <w:lang w:val="en-GB"/>
        </w:rPr>
        <w:t xml:space="preserve">Each TSO </w:t>
      </w:r>
      <w:r w:rsidR="00EC762B">
        <w:rPr>
          <w:lang w:val="en-GB"/>
        </w:rPr>
        <w:t>participating in</w:t>
      </w:r>
      <w:r w:rsidRPr="00D12A68">
        <w:rPr>
          <w:lang w:val="en-GB"/>
        </w:rPr>
        <w:t xml:space="preserve"> a </w:t>
      </w:r>
      <w:r w:rsidR="00EC34F9">
        <w:rPr>
          <w:lang w:val="en-GB"/>
        </w:rPr>
        <w:t>BCC</w:t>
      </w:r>
      <w:r w:rsidRPr="00D12A68">
        <w:rPr>
          <w:lang w:val="en-GB"/>
        </w:rPr>
        <w:t xml:space="preserve"> shall publish information on offered volumes as well as offered prices of procured balancing capacity, anonymised where necessary, no later than </w:t>
      </w:r>
      <w:r w:rsidR="00A14797">
        <w:rPr>
          <w:lang w:val="en-GB"/>
        </w:rPr>
        <w:t>1 (</w:t>
      </w:r>
      <w:r w:rsidRPr="00D12A68">
        <w:rPr>
          <w:lang w:val="en-GB"/>
        </w:rPr>
        <w:t>one</w:t>
      </w:r>
      <w:r w:rsidR="00A14797">
        <w:rPr>
          <w:lang w:val="en-GB"/>
        </w:rPr>
        <w:t>)</w:t>
      </w:r>
      <w:r w:rsidRPr="00D12A68">
        <w:rPr>
          <w:lang w:val="en-GB"/>
        </w:rPr>
        <w:t xml:space="preserve"> hour after the results of the procurement have been notified to the bidders, pursuant to </w:t>
      </w:r>
      <w:r w:rsidR="00735F4C">
        <w:rPr>
          <w:lang w:val="en-GB"/>
        </w:rPr>
        <w:t>article</w:t>
      </w:r>
      <w:r w:rsidRPr="00D12A68">
        <w:rPr>
          <w:lang w:val="en-GB"/>
        </w:rPr>
        <w:t xml:space="preserve"> 12(3)(e) of the EBGL.</w:t>
      </w:r>
    </w:p>
    <w:p w14:paraId="25BB100E" w14:textId="5E0ABA14" w:rsidR="00D12A68" w:rsidRPr="00144AA2" w:rsidRDefault="00D12A68" w:rsidP="00647B80">
      <w:pPr>
        <w:pStyle w:val="textregular"/>
        <w:numPr>
          <w:ilvl w:val="0"/>
          <w:numId w:val="38"/>
        </w:numPr>
        <w:spacing w:line="276" w:lineRule="auto"/>
        <w:rPr>
          <w:lang w:val="en-US"/>
        </w:rPr>
      </w:pPr>
      <w:r w:rsidRPr="00144AA2">
        <w:rPr>
          <w:lang w:val="en-US"/>
        </w:rPr>
        <w:t xml:space="preserve">Each TSO </w:t>
      </w:r>
      <w:r w:rsidR="00EC762B">
        <w:t>participating in</w:t>
      </w:r>
      <w:r w:rsidR="00EC762B" w:rsidRPr="00D12A68">
        <w:t xml:space="preserve"> </w:t>
      </w:r>
      <w:r w:rsidRPr="00144AA2">
        <w:rPr>
          <w:lang w:val="en-US"/>
        </w:rPr>
        <w:t xml:space="preserve">a </w:t>
      </w:r>
      <w:r w:rsidR="00EC34F9">
        <w:rPr>
          <w:lang w:val="en-US"/>
        </w:rPr>
        <w:t>BCC</w:t>
      </w:r>
      <w:r w:rsidRPr="00144AA2">
        <w:rPr>
          <w:lang w:val="en-US"/>
        </w:rPr>
        <w:t xml:space="preserve"> shall publish information </w:t>
      </w:r>
      <w:r w:rsidRPr="007933F6">
        <w:rPr>
          <w:lang w:val="en-US"/>
        </w:rPr>
        <w:t xml:space="preserve">in accordance with </w:t>
      </w:r>
      <w:r w:rsidR="00735F4C">
        <w:rPr>
          <w:lang w:val="en-US"/>
        </w:rPr>
        <w:t>article</w:t>
      </w:r>
      <w:r w:rsidRPr="007933F6">
        <w:rPr>
          <w:lang w:val="en-US"/>
        </w:rPr>
        <w:t> 12(3)(h) of the EBG</w:t>
      </w:r>
      <w:r>
        <w:rPr>
          <w:lang w:val="en-US"/>
        </w:rPr>
        <w:t xml:space="preserve">L </w:t>
      </w:r>
      <w:r w:rsidRPr="00144AA2">
        <w:rPr>
          <w:lang w:val="en-US"/>
        </w:rPr>
        <w:t xml:space="preserve">on the allocation of CZC for the exchange of balancing capacity or sharing of reserves pursuant to </w:t>
      </w:r>
      <w:r w:rsidR="00735F4C">
        <w:rPr>
          <w:lang w:val="en-US"/>
        </w:rPr>
        <w:t>article</w:t>
      </w:r>
      <w:r w:rsidRPr="00144AA2">
        <w:rPr>
          <w:lang w:val="en-US"/>
        </w:rPr>
        <w:t> 38</w:t>
      </w:r>
      <w:r>
        <w:rPr>
          <w:lang w:val="en-US"/>
        </w:rPr>
        <w:t>(1)(a)</w:t>
      </w:r>
      <w:r w:rsidRPr="00144AA2">
        <w:rPr>
          <w:lang w:val="en-US"/>
        </w:rPr>
        <w:t xml:space="preserve"> of the EBGL </w:t>
      </w:r>
      <w:r>
        <w:rPr>
          <w:lang w:val="en-US"/>
        </w:rPr>
        <w:t xml:space="preserve">as defined in </w:t>
      </w:r>
      <w:r w:rsidR="00A14797">
        <w:rPr>
          <w:lang w:val="en-US"/>
        </w:rPr>
        <w:t xml:space="preserve">Article </w:t>
      </w:r>
      <w:r>
        <w:rPr>
          <w:lang w:val="en-US"/>
        </w:rPr>
        <w:t xml:space="preserve">5(1)(a) of </w:t>
      </w:r>
      <w:r w:rsidRPr="00F1414C">
        <w:rPr>
          <w:lang w:val="en-US"/>
        </w:rPr>
        <w:t xml:space="preserve">this </w:t>
      </w:r>
      <w:r w:rsidR="00193ECF">
        <w:rPr>
          <w:lang w:val="en-US"/>
        </w:rPr>
        <w:t xml:space="preserve">EE CZCA </w:t>
      </w:r>
      <w:r w:rsidR="008718E9">
        <w:rPr>
          <w:lang w:val="en-US"/>
        </w:rPr>
        <w:t>methodology</w:t>
      </w:r>
      <w:r w:rsidRPr="00144AA2">
        <w:rPr>
          <w:lang w:val="en-US"/>
        </w:rPr>
        <w:t xml:space="preserve"> and no later than 6 </w:t>
      </w:r>
      <w:r w:rsidR="00A14797">
        <w:rPr>
          <w:lang w:val="en-US"/>
        </w:rPr>
        <w:t xml:space="preserve">(six) </w:t>
      </w:r>
      <w:r w:rsidRPr="00144AA2">
        <w:rPr>
          <w:lang w:val="en-US"/>
        </w:rPr>
        <w:t>hours before the use of the allocated CZC</w:t>
      </w:r>
      <w:r>
        <w:rPr>
          <w:lang w:val="en-US"/>
        </w:rPr>
        <w:t>.</w:t>
      </w:r>
    </w:p>
    <w:p w14:paraId="1463AD0D" w14:textId="5C6A8053" w:rsidR="00D12A68" w:rsidRPr="00901B78" w:rsidRDefault="00D12A68" w:rsidP="00647B80">
      <w:pPr>
        <w:pStyle w:val="textregular"/>
        <w:numPr>
          <w:ilvl w:val="0"/>
          <w:numId w:val="38"/>
        </w:numPr>
        <w:spacing w:line="276" w:lineRule="auto"/>
        <w:rPr>
          <w:lang w:val="en-US"/>
        </w:rPr>
      </w:pPr>
      <w:r w:rsidRPr="009C025A">
        <w:rPr>
          <w:lang w:val="en-US"/>
        </w:rPr>
        <w:t xml:space="preserve">Each </w:t>
      </w:r>
      <w:r w:rsidR="00A14797">
        <w:rPr>
          <w:lang w:val="en-US"/>
        </w:rPr>
        <w:t xml:space="preserve">Core </w:t>
      </w:r>
      <w:r w:rsidRPr="009C025A">
        <w:rPr>
          <w:lang w:val="en-US"/>
        </w:rPr>
        <w:t xml:space="preserve">TSO </w:t>
      </w:r>
      <w:r w:rsidR="00EC762B">
        <w:t>participating in</w:t>
      </w:r>
      <w:r w:rsidR="00EC762B" w:rsidRPr="00D12A68">
        <w:t xml:space="preserve"> </w:t>
      </w:r>
      <w:r w:rsidRPr="009C025A">
        <w:rPr>
          <w:lang w:val="en-US"/>
        </w:rPr>
        <w:t xml:space="preserve">a </w:t>
      </w:r>
      <w:r w:rsidR="00EC34F9">
        <w:rPr>
          <w:lang w:val="en-US"/>
        </w:rPr>
        <w:t>BCC</w:t>
      </w:r>
      <w:r w:rsidRPr="009C025A">
        <w:rPr>
          <w:lang w:val="en-US"/>
        </w:rPr>
        <w:t xml:space="preserve"> shall inform on the use of allocated CZC for the exchange of balancing capacity or sharing of reserves pursuant to </w:t>
      </w:r>
      <w:r w:rsidR="00735F4C">
        <w:rPr>
          <w:lang w:val="en-US"/>
        </w:rPr>
        <w:t>article</w:t>
      </w:r>
      <w:r w:rsidRPr="009C025A">
        <w:rPr>
          <w:lang w:val="en-US"/>
        </w:rPr>
        <w:t xml:space="preserve"> 38 of the EBGL at the latest one week after the use of allocated CZC, pursuant to </w:t>
      </w:r>
      <w:r w:rsidR="00735F4C">
        <w:rPr>
          <w:lang w:val="en-US"/>
        </w:rPr>
        <w:t>article</w:t>
      </w:r>
      <w:r w:rsidRPr="009C025A">
        <w:rPr>
          <w:lang w:val="en-US"/>
        </w:rPr>
        <w:t> 12(3)(</w:t>
      </w:r>
      <w:proofErr w:type="spellStart"/>
      <w:r w:rsidRPr="009C025A">
        <w:rPr>
          <w:lang w:val="en-US"/>
        </w:rPr>
        <w:t>i</w:t>
      </w:r>
      <w:proofErr w:type="spellEnd"/>
      <w:r w:rsidRPr="009C025A">
        <w:rPr>
          <w:lang w:val="en-US"/>
        </w:rPr>
        <w:t>) of the EBGL</w:t>
      </w:r>
      <w:r>
        <w:rPr>
          <w:lang w:val="en-US"/>
        </w:rPr>
        <w:t>.</w:t>
      </w:r>
    </w:p>
    <w:p w14:paraId="235051C5" w14:textId="03CB30FE" w:rsidR="00D12A68" w:rsidRPr="00D12A68" w:rsidRDefault="00D12A68" w:rsidP="00647B80">
      <w:pPr>
        <w:pStyle w:val="textregular"/>
        <w:numPr>
          <w:ilvl w:val="0"/>
          <w:numId w:val="38"/>
        </w:numPr>
        <w:spacing w:line="276" w:lineRule="auto"/>
        <w:rPr>
          <w:lang w:val="en-US"/>
        </w:rPr>
      </w:pPr>
      <w:r w:rsidRPr="009C025A">
        <w:rPr>
          <w:lang w:val="en-US"/>
        </w:rPr>
        <w:t xml:space="preserve">Each TSO </w:t>
      </w:r>
      <w:r w:rsidR="00EC762B">
        <w:t>participating in</w:t>
      </w:r>
      <w:r w:rsidR="00EC762B" w:rsidRPr="00D12A68">
        <w:t xml:space="preserve"> </w:t>
      </w:r>
      <w:r w:rsidRPr="009C025A">
        <w:rPr>
          <w:lang w:val="en-US"/>
        </w:rPr>
        <w:t xml:space="preserve">a </w:t>
      </w:r>
      <w:r w:rsidR="00EC34F9">
        <w:rPr>
          <w:lang w:val="en-US"/>
        </w:rPr>
        <w:t>BCC</w:t>
      </w:r>
      <w:r w:rsidRPr="009C025A">
        <w:rPr>
          <w:lang w:val="en-US"/>
        </w:rPr>
        <w:t xml:space="preserve"> shall publish the approved methodologies at least one month before its application pursuant to </w:t>
      </w:r>
      <w:r w:rsidR="00735F4C">
        <w:rPr>
          <w:lang w:val="en-US"/>
        </w:rPr>
        <w:t>article</w:t>
      </w:r>
      <w:r w:rsidRPr="009C025A">
        <w:rPr>
          <w:lang w:val="en-US"/>
        </w:rPr>
        <w:t xml:space="preserve"> 12(3)(j) of the EBGL </w:t>
      </w:r>
      <w:r>
        <w:tab/>
      </w:r>
    </w:p>
    <w:p w14:paraId="70C18C79" w14:textId="402F75B4" w:rsidR="00D12A68" w:rsidRPr="00D12A68" w:rsidRDefault="00D12A68" w:rsidP="00647B80">
      <w:pPr>
        <w:pStyle w:val="ListParagraph"/>
        <w:numPr>
          <w:ilvl w:val="0"/>
          <w:numId w:val="38"/>
        </w:numPr>
        <w:spacing w:after="120" w:line="276" w:lineRule="auto"/>
        <w:contextualSpacing w:val="0"/>
        <w:rPr>
          <w:lang w:val="en-US"/>
        </w:rPr>
      </w:pPr>
      <w:r w:rsidRPr="00D12A68">
        <w:rPr>
          <w:lang w:val="en-US"/>
        </w:rPr>
        <w:t xml:space="preserve">Subject to approval pursuant to </w:t>
      </w:r>
      <w:r w:rsidR="00735F4C">
        <w:rPr>
          <w:lang w:val="en-US"/>
        </w:rPr>
        <w:t>article</w:t>
      </w:r>
      <w:r w:rsidRPr="00D12A68">
        <w:rPr>
          <w:lang w:val="en-US"/>
        </w:rPr>
        <w:t xml:space="preserve"> 18 of the EBGL, a </w:t>
      </w:r>
      <w:r w:rsidR="00FA512C">
        <w:rPr>
          <w:lang w:val="en-US"/>
        </w:rPr>
        <w:t xml:space="preserve">Core </w:t>
      </w:r>
      <w:r w:rsidRPr="00D12A68">
        <w:rPr>
          <w:lang w:val="en-US"/>
        </w:rPr>
        <w:t xml:space="preserve">TSO may withhold the publication of information on offered prices and volumes of balancing capacity or balancing energy bids if justified for reasons of market abuse concerns and if not detrimental to the effective functioning of the electricity markets. A </w:t>
      </w:r>
      <w:r w:rsidR="00FA512C">
        <w:rPr>
          <w:lang w:val="en-US"/>
        </w:rPr>
        <w:t xml:space="preserve">Core </w:t>
      </w:r>
      <w:r w:rsidRPr="00D12A68">
        <w:rPr>
          <w:lang w:val="en-US"/>
        </w:rPr>
        <w:t xml:space="preserve">TSO shall report such withholdings at least once a year to the relevant regulatory authority in accordance with </w:t>
      </w:r>
      <w:r w:rsidR="00735F4C">
        <w:rPr>
          <w:lang w:val="en-US"/>
        </w:rPr>
        <w:t>article</w:t>
      </w:r>
      <w:r w:rsidRPr="00D12A68">
        <w:rPr>
          <w:lang w:val="en-US"/>
        </w:rPr>
        <w:t xml:space="preserve"> </w:t>
      </w:r>
      <w:r w:rsidR="00FA512C">
        <w:rPr>
          <w:lang w:val="en-US"/>
        </w:rPr>
        <w:t>59</w:t>
      </w:r>
      <w:r w:rsidR="00FA512C" w:rsidRPr="00D12A68">
        <w:rPr>
          <w:lang w:val="en-US"/>
        </w:rPr>
        <w:t xml:space="preserve"> </w:t>
      </w:r>
      <w:r w:rsidRPr="00D12A68">
        <w:rPr>
          <w:lang w:val="en-US"/>
        </w:rPr>
        <w:t xml:space="preserve">of Directive </w:t>
      </w:r>
      <w:r w:rsidR="00FA512C">
        <w:rPr>
          <w:lang w:val="en-US"/>
        </w:rPr>
        <w:t xml:space="preserve">(EU) </w:t>
      </w:r>
      <w:r w:rsidRPr="00D12A68">
        <w:rPr>
          <w:lang w:val="en-US"/>
        </w:rPr>
        <w:t>2009/</w:t>
      </w:r>
      <w:r w:rsidR="00FA512C">
        <w:rPr>
          <w:lang w:val="en-US"/>
        </w:rPr>
        <w:t>944</w:t>
      </w:r>
      <w:r w:rsidRPr="00D12A68">
        <w:rPr>
          <w:lang w:val="en-US"/>
        </w:rPr>
        <w:t xml:space="preserve"> and pursuant to </w:t>
      </w:r>
      <w:r w:rsidR="00735F4C">
        <w:rPr>
          <w:lang w:val="en-US"/>
        </w:rPr>
        <w:t>article</w:t>
      </w:r>
      <w:r w:rsidRPr="00D12A68">
        <w:rPr>
          <w:lang w:val="en-US"/>
        </w:rPr>
        <w:t xml:space="preserve"> 12(5) of the EBGL.</w:t>
      </w:r>
    </w:p>
    <w:p w14:paraId="0FCBE74A" w14:textId="6ACACBCE" w:rsidR="00EF4E88" w:rsidRDefault="00221665" w:rsidP="00647B80">
      <w:pPr>
        <w:pStyle w:val="textregular"/>
        <w:numPr>
          <w:ilvl w:val="0"/>
          <w:numId w:val="38"/>
        </w:numPr>
        <w:spacing w:line="276" w:lineRule="auto"/>
      </w:pPr>
      <w:r w:rsidRPr="009F1102">
        <w:rPr>
          <w:bCs/>
          <w:iCs/>
        </w:rPr>
        <w:t>Core</w:t>
      </w:r>
      <w:r w:rsidR="00375973">
        <w:t xml:space="preserve"> </w:t>
      </w:r>
      <w:r w:rsidR="00401395">
        <w:t xml:space="preserve">TSOs of </w:t>
      </w:r>
      <w:r w:rsidR="00EC762B">
        <w:t xml:space="preserve">each </w:t>
      </w:r>
      <w:r w:rsidR="00EC34F9">
        <w:t>BCC</w:t>
      </w:r>
      <w:r w:rsidR="00401395">
        <w:t xml:space="preserve"> applying the </w:t>
      </w:r>
      <w:r w:rsidR="00FA512C">
        <w:t xml:space="preserve">EE CZCA methodology </w:t>
      </w:r>
      <w:r w:rsidR="00401395">
        <w:t xml:space="preserve">shall publish the efficiency of the forecasted market value for the exchange of balancing </w:t>
      </w:r>
      <w:r w:rsidR="007F289B">
        <w:t>capacity or sharing of reserves and the efficiency of the forecasted market value for the exchange of energy.</w:t>
      </w:r>
    </w:p>
    <w:p w14:paraId="74B20316" w14:textId="77777777" w:rsidR="00E20F29" w:rsidRDefault="00E20F29" w:rsidP="00E20F29">
      <w:pPr>
        <w:pStyle w:val="textregular"/>
        <w:spacing w:line="276" w:lineRule="auto"/>
        <w:ind w:left="720"/>
      </w:pPr>
    </w:p>
    <w:p w14:paraId="780CAA98" w14:textId="14E1902C" w:rsidR="004F4146" w:rsidRDefault="00442D45" w:rsidP="00F45213">
      <w:pPr>
        <w:pStyle w:val="headline1"/>
      </w:pPr>
      <w:bookmarkStart w:id="35" w:name="_Toc19192538"/>
      <w:r w:rsidRPr="00370ACD">
        <w:t>Language</w:t>
      </w:r>
      <w:bookmarkEnd w:id="32"/>
      <w:bookmarkEnd w:id="33"/>
      <w:bookmarkEnd w:id="34"/>
      <w:bookmarkEnd w:id="35"/>
    </w:p>
    <w:p w14:paraId="485E3D39" w14:textId="4F91478F" w:rsidR="00375973" w:rsidRPr="00375973" w:rsidRDefault="00375973" w:rsidP="00647B80">
      <w:pPr>
        <w:spacing w:after="120" w:line="276" w:lineRule="auto"/>
        <w:jc w:val="both"/>
        <w:rPr>
          <w:rFonts w:cstheme="minorHAnsi"/>
          <w:iCs/>
          <w:color w:val="000000" w:themeColor="text1"/>
          <w:lang w:val="en-US"/>
        </w:rPr>
      </w:pPr>
      <w:r w:rsidRPr="006E273E">
        <w:rPr>
          <w:lang w:val="en-US"/>
        </w:rPr>
        <w:t>The reference language for this</w:t>
      </w:r>
      <w:r w:rsidR="00FC6D60">
        <w:rPr>
          <w:lang w:val="en-US"/>
        </w:rPr>
        <w:t xml:space="preserve"> Core TSOs’</w:t>
      </w:r>
      <w:r w:rsidRPr="006E273E">
        <w:rPr>
          <w:lang w:val="en-US"/>
        </w:rPr>
        <w:t xml:space="preserve"> </w:t>
      </w:r>
      <w:r w:rsidR="00193ECF">
        <w:rPr>
          <w:rFonts w:cstheme="minorHAnsi"/>
          <w:color w:val="000000" w:themeColor="text1"/>
        </w:rPr>
        <w:t xml:space="preserve">EE CZCA </w:t>
      </w:r>
      <w:r w:rsidR="008718E9">
        <w:rPr>
          <w:rFonts w:cstheme="minorHAnsi"/>
          <w:color w:val="000000" w:themeColor="text1"/>
        </w:rPr>
        <w:t>methodology</w:t>
      </w:r>
      <w:r w:rsidRPr="006E273E">
        <w:rPr>
          <w:lang w:val="en-US"/>
        </w:rPr>
        <w:t xml:space="preserve"> shall be English. For the avoidance of doubt, where </w:t>
      </w:r>
      <w:r w:rsidR="00FC6D60">
        <w:rPr>
          <w:lang w:val="en-US"/>
        </w:rPr>
        <w:t xml:space="preserve">Core </w:t>
      </w:r>
      <w:r w:rsidRPr="006E273E">
        <w:rPr>
          <w:lang w:val="en-US"/>
        </w:rPr>
        <w:t xml:space="preserve">TSOs need to translate this </w:t>
      </w:r>
      <w:r w:rsidR="00FC6D60">
        <w:rPr>
          <w:lang w:val="en-US"/>
        </w:rPr>
        <w:t xml:space="preserve">Core TSOs’ </w:t>
      </w:r>
      <w:r w:rsidR="00193ECF">
        <w:rPr>
          <w:rFonts w:cstheme="minorHAnsi"/>
          <w:color w:val="000000" w:themeColor="text1"/>
        </w:rPr>
        <w:t xml:space="preserve">EE CZCA </w:t>
      </w:r>
      <w:r w:rsidR="008718E9">
        <w:rPr>
          <w:rFonts w:cstheme="minorHAnsi"/>
          <w:color w:val="000000" w:themeColor="text1"/>
        </w:rPr>
        <w:t>methodology</w:t>
      </w:r>
      <w:r w:rsidRPr="006E273E">
        <w:rPr>
          <w:lang w:val="en-US"/>
        </w:rPr>
        <w:t xml:space="preserve"> into their national language(s), in the event of inconsistencies between the English version published by </w:t>
      </w:r>
      <w:r w:rsidR="00FC6D60">
        <w:rPr>
          <w:lang w:val="en-US"/>
        </w:rPr>
        <w:t xml:space="preserve">Core </w:t>
      </w:r>
      <w:r w:rsidRPr="006E273E">
        <w:rPr>
          <w:lang w:val="en-US"/>
        </w:rPr>
        <w:t xml:space="preserve">TSOs in accordance with </w:t>
      </w:r>
      <w:r w:rsidR="00735F4C">
        <w:rPr>
          <w:lang w:val="en-US"/>
        </w:rPr>
        <w:t>article</w:t>
      </w:r>
      <w:r w:rsidRPr="006E273E">
        <w:rPr>
          <w:lang w:val="en-US"/>
        </w:rPr>
        <w:t xml:space="preserve"> 7 of the EBGL and any version in another language, the relevant </w:t>
      </w:r>
      <w:r w:rsidR="00FC6D60">
        <w:rPr>
          <w:lang w:val="en-US"/>
        </w:rPr>
        <w:t xml:space="preserve">Core </w:t>
      </w:r>
      <w:r w:rsidRPr="006E273E">
        <w:rPr>
          <w:lang w:val="en-US"/>
        </w:rPr>
        <w:t xml:space="preserve">TSOs shall be obliged to dispel any inconsistencies by providing a revised translation of this </w:t>
      </w:r>
      <w:r w:rsidR="00FC6D60">
        <w:rPr>
          <w:lang w:val="en-US"/>
        </w:rPr>
        <w:t xml:space="preserve">Core TSOs’ </w:t>
      </w:r>
      <w:r w:rsidR="00193ECF">
        <w:rPr>
          <w:rFonts w:cstheme="minorHAnsi"/>
          <w:color w:val="000000" w:themeColor="text1"/>
        </w:rPr>
        <w:t xml:space="preserve">EE CZCA </w:t>
      </w:r>
      <w:r w:rsidR="008718E9">
        <w:rPr>
          <w:rFonts w:cstheme="minorHAnsi"/>
          <w:color w:val="000000" w:themeColor="text1"/>
        </w:rPr>
        <w:t>methodology</w:t>
      </w:r>
      <w:r w:rsidRPr="006E273E">
        <w:rPr>
          <w:lang w:val="en-US"/>
        </w:rPr>
        <w:t xml:space="preserve"> to their relevant</w:t>
      </w:r>
      <w:r w:rsidR="00727E1B">
        <w:rPr>
          <w:lang w:val="en-US"/>
        </w:rPr>
        <w:t xml:space="preserve"> </w:t>
      </w:r>
      <w:r w:rsidR="00FC6D60">
        <w:rPr>
          <w:lang w:val="en-US"/>
        </w:rPr>
        <w:t xml:space="preserve">Core </w:t>
      </w:r>
      <w:r w:rsidR="00EC762B">
        <w:rPr>
          <w:lang w:val="en-US"/>
        </w:rPr>
        <w:t>NRAs</w:t>
      </w:r>
      <w:r>
        <w:rPr>
          <w:lang w:val="en-US"/>
        </w:rPr>
        <w:t>.</w:t>
      </w:r>
    </w:p>
    <w:bookmarkEnd w:id="1"/>
    <w:bookmarkEnd w:id="28"/>
    <w:p w14:paraId="18F98D3F" w14:textId="1D79533E" w:rsidR="004F4146" w:rsidRPr="009E683E" w:rsidRDefault="004F4146" w:rsidP="00647B80">
      <w:pPr>
        <w:spacing w:after="120" w:line="276" w:lineRule="auto"/>
        <w:rPr>
          <w:rFonts w:cstheme="minorHAnsi"/>
          <w:iCs/>
          <w:color w:val="000000" w:themeColor="text1"/>
          <w:lang w:val="en-US"/>
        </w:rPr>
      </w:pPr>
    </w:p>
    <w:sectPr w:rsidR="004F4146" w:rsidRPr="009E683E" w:rsidSect="008E6BAB">
      <w:headerReference w:type="even" r:id="rId12"/>
      <w:headerReference w:type="default" r:id="rId13"/>
      <w:footerReference w:type="default" r:id="rId14"/>
      <w:headerReference w:type="first" r:id="rId15"/>
      <w:footerReference w:type="first" r:id="rId16"/>
      <w:pgSz w:w="11906" w:h="16838"/>
      <w:pgMar w:top="1928" w:right="1021" w:bottom="1701" w:left="136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E0AB6" w14:textId="77777777" w:rsidR="00C232EF" w:rsidRDefault="00C232EF" w:rsidP="00B04144">
      <w:r>
        <w:separator/>
      </w:r>
    </w:p>
  </w:endnote>
  <w:endnote w:type="continuationSeparator" w:id="0">
    <w:p w14:paraId="14C4EE67" w14:textId="77777777" w:rsidR="00C232EF" w:rsidRDefault="00C232EF" w:rsidP="00B04144">
      <w:r>
        <w:continuationSeparator/>
      </w:r>
    </w:p>
  </w:endnote>
  <w:endnote w:type="continuationNotice" w:id="1">
    <w:p w14:paraId="66E4EE0F" w14:textId="77777777" w:rsidR="00C232EF" w:rsidRDefault="00C23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4F235A" w:rsidRPr="00011A8F" w14:paraId="5419BAA7" w14:textId="77777777" w:rsidTr="003D0965">
      <w:trPr>
        <w:trHeight w:hRule="exact" w:val="284"/>
      </w:trPr>
      <w:tc>
        <w:tcPr>
          <w:tcW w:w="9923" w:type="dxa"/>
          <w:vAlign w:val="center"/>
        </w:tcPr>
        <w:p w14:paraId="66E4017B" w14:textId="77777777" w:rsidR="004F235A" w:rsidRPr="003D0965" w:rsidRDefault="004F235A" w:rsidP="00CD009F">
          <w:pPr>
            <w:pStyle w:val="Footer"/>
            <w:rPr>
              <w:rFonts w:asciiTheme="majorHAnsi" w:hAnsiTheme="majorHAnsi" w:cstheme="majorHAnsi"/>
              <w:sz w:val="14"/>
              <w:szCs w:val="14"/>
              <w:lang w:val="de-DE"/>
            </w:rPr>
          </w:pPr>
          <w:r w:rsidRPr="003D0965">
            <w:rPr>
              <w:rFonts w:asciiTheme="majorHAnsi" w:hAnsiTheme="majorHAnsi" w:cstheme="majorHAnsi"/>
              <w:sz w:val="14"/>
              <w:szCs w:val="14"/>
              <w:lang w:val="de-DE"/>
            </w:rPr>
            <w:t xml:space="preserve">ENTSO-E </w:t>
          </w:r>
          <w:r w:rsidRPr="003D0965">
            <w:rPr>
              <w:rFonts w:asciiTheme="majorHAnsi" w:hAnsiTheme="majorHAnsi" w:cstheme="majorHAnsi"/>
              <w:sz w:val="10"/>
              <w:szCs w:val="14"/>
              <w:lang w:val="de-DE"/>
            </w:rPr>
            <w:t>AISBL</w:t>
          </w:r>
          <w:r w:rsidRPr="003D0965">
            <w:rPr>
              <w:rFonts w:asciiTheme="majorHAnsi" w:hAnsiTheme="majorHAnsi" w:cstheme="majorHAnsi"/>
              <w:sz w:val="14"/>
              <w:szCs w:val="14"/>
              <w:lang w:val="de-DE"/>
            </w:rPr>
            <w:t xml:space="preserve"> • Avenue de Cortenbergh 100 • 1000 Brussels • Belgium • Tel + 32 2 741 09 50 • Fax + 32 2 741 09 51 • info@entsoe.eu • www. entsoe.eu</w:t>
          </w:r>
        </w:p>
      </w:tc>
    </w:tr>
  </w:tbl>
  <w:tbl>
    <w:tblPr>
      <w:tblStyle w:val="TableGrid"/>
      <w:tblpPr w:leftFromText="142" w:rightFromText="142" w:vertAnchor="page" w:horzAnchor="margin" w:tblpXSpec="right" w:tblpY="157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tblGrid>
    <w:tr w:rsidR="004F235A" w14:paraId="63B61640" w14:textId="77777777" w:rsidTr="006E5DF6">
      <w:trPr>
        <w:trHeight w:hRule="exact" w:val="284"/>
      </w:trPr>
      <w:tc>
        <w:tcPr>
          <w:tcW w:w="624" w:type="dxa"/>
        </w:tcPr>
        <w:p w14:paraId="7A1A72E1" w14:textId="39481786" w:rsidR="004F235A" w:rsidRDefault="004F235A" w:rsidP="00B0464F">
          <w:pPr>
            <w:pStyle w:val="Footer"/>
            <w:jc w:val="right"/>
          </w:pPr>
          <w:r>
            <w:fldChar w:fldCharType="begin"/>
          </w:r>
          <w:r>
            <w:instrText xml:space="preserve"> PAGE   \* MERGEFORMAT </w:instrText>
          </w:r>
          <w:r>
            <w:fldChar w:fldCharType="separate"/>
          </w:r>
          <w:r>
            <w:rPr>
              <w:noProof/>
            </w:rPr>
            <w:t>17</w:t>
          </w:r>
          <w:r>
            <w:rPr>
              <w:noProof/>
            </w:rPr>
            <w:fldChar w:fldCharType="end"/>
          </w:r>
        </w:p>
      </w:tc>
    </w:tr>
  </w:tbl>
  <w:p w14:paraId="5B808079" w14:textId="77777777" w:rsidR="004F235A" w:rsidRPr="003D0965" w:rsidRDefault="004F235A" w:rsidP="003D0965">
    <w:pPr>
      <w:pStyle w:val="Footer"/>
    </w:pPr>
    <w:r w:rsidRPr="008C038C">
      <w:rPr>
        <w:noProof/>
        <w:lang w:val="sl-SI" w:eastAsia="sl-SI"/>
      </w:rPr>
      <w:drawing>
        <wp:anchor distT="0" distB="0" distL="114300" distR="114300" simplePos="0" relativeHeight="251658242" behindDoc="1" locked="1" layoutInCell="1" allowOverlap="1" wp14:anchorId="28BBAC10" wp14:editId="42C4B163">
          <wp:simplePos x="0" y="0"/>
          <wp:positionH relativeFrom="page">
            <wp:posOffset>0</wp:posOffset>
          </wp:positionH>
          <wp:positionV relativeFrom="page">
            <wp:posOffset>9725025</wp:posOffset>
          </wp:positionV>
          <wp:extent cx="7000875" cy="426085"/>
          <wp:effectExtent l="0" t="0" r="9525" b="0"/>
          <wp:wrapNone/>
          <wp:docPr id="11" name="Grafik 3" descr="Footer.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wmf"/>
                  <pic:cNvPicPr/>
                </pic:nvPicPr>
                <pic:blipFill>
                  <a:blip r:embed="rId1"/>
                  <a:stretch>
                    <a:fillRect/>
                  </a:stretch>
                </pic:blipFill>
                <pic:spPr>
                  <a:xfrm>
                    <a:off x="0" y="0"/>
                    <a:ext cx="7000875" cy="42608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4F235A" w:rsidRPr="00011A8F" w14:paraId="3E16B1DE" w14:textId="77777777" w:rsidTr="003D0965">
      <w:trPr>
        <w:trHeight w:hRule="exact" w:val="284"/>
      </w:trPr>
      <w:tc>
        <w:tcPr>
          <w:tcW w:w="9923" w:type="dxa"/>
          <w:vAlign w:val="center"/>
        </w:tcPr>
        <w:p w14:paraId="104EE793" w14:textId="77777777" w:rsidR="004F235A" w:rsidRPr="00A10F07" w:rsidRDefault="004F235A" w:rsidP="003D0965">
          <w:pPr>
            <w:pStyle w:val="Footer"/>
            <w:rPr>
              <w:rFonts w:asciiTheme="majorHAnsi" w:hAnsiTheme="majorHAnsi" w:cstheme="majorHAnsi"/>
              <w:sz w:val="14"/>
              <w:szCs w:val="14"/>
              <w:lang w:val="fr-FR"/>
            </w:rPr>
          </w:pPr>
          <w:r w:rsidRPr="00A10F07">
            <w:rPr>
              <w:rFonts w:asciiTheme="majorHAnsi" w:hAnsiTheme="majorHAnsi" w:cstheme="majorHAnsi"/>
              <w:sz w:val="14"/>
              <w:szCs w:val="14"/>
              <w:lang w:val="fr-FR"/>
            </w:rPr>
            <w:t xml:space="preserve">ENTSO-E </w:t>
          </w:r>
          <w:r w:rsidRPr="00A10F07">
            <w:rPr>
              <w:rFonts w:asciiTheme="majorHAnsi" w:hAnsiTheme="majorHAnsi" w:cstheme="majorHAnsi"/>
              <w:sz w:val="10"/>
              <w:szCs w:val="14"/>
              <w:lang w:val="fr-FR"/>
            </w:rPr>
            <w:t>AISBL</w:t>
          </w:r>
          <w:r w:rsidRPr="00A10F07">
            <w:rPr>
              <w:rFonts w:asciiTheme="majorHAnsi" w:hAnsiTheme="majorHAnsi" w:cstheme="majorHAnsi"/>
              <w:sz w:val="14"/>
              <w:szCs w:val="14"/>
              <w:lang w:val="fr-FR"/>
            </w:rPr>
            <w:t xml:space="preserve"> • Avenue de Cortenbergh 100 • 1000 Brussels • Belgium • Tel + 32 2 741 09 50 • Fax + 32 2 741 09 51 • info@entsoe.eu • www. entsoe.eu</w:t>
          </w:r>
        </w:p>
      </w:tc>
    </w:tr>
  </w:tbl>
  <w:p w14:paraId="07B265B9" w14:textId="77777777" w:rsidR="004F235A" w:rsidRDefault="004F235A">
    <w:pPr>
      <w:pStyle w:val="Footer"/>
    </w:pPr>
    <w:r>
      <w:rPr>
        <w:noProof/>
        <w:lang w:val="sl-SI" w:eastAsia="sl-SI"/>
      </w:rPr>
      <mc:AlternateContent>
        <mc:Choice Requires="wps">
          <w:drawing>
            <wp:anchor distT="0" distB="0" distL="114300" distR="114300" simplePos="0" relativeHeight="251658246" behindDoc="1" locked="0" layoutInCell="1" allowOverlap="1" wp14:anchorId="116D7216" wp14:editId="2EBE717D">
              <wp:simplePos x="0" y="0"/>
              <wp:positionH relativeFrom="column">
                <wp:posOffset>-864235</wp:posOffset>
              </wp:positionH>
              <wp:positionV relativeFrom="paragraph">
                <wp:posOffset>-298450</wp:posOffset>
              </wp:positionV>
              <wp:extent cx="6991350" cy="638175"/>
              <wp:effectExtent l="0" t="0" r="0"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638175"/>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accent3">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1CC2F" id="Rectangle 6" o:spid="_x0000_s1026" style="position:absolute;margin-left:-68.05pt;margin-top:-23.5pt;width:550.5pt;height:50.2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" fillcolor="white [3212]" stroked="f" strokecolor="#7f5a9b [3206]"/>
          </w:pict>
        </mc:Fallback>
      </mc:AlternateContent>
    </w:r>
    <w:r>
      <w:rPr>
        <w:noProof/>
        <w:lang w:val="sl-SI" w:eastAsia="sl-SI"/>
      </w:rPr>
      <mc:AlternateContent>
        <mc:Choice Requires="wps">
          <w:drawing>
            <wp:anchor distT="0" distB="0" distL="114300" distR="114300" simplePos="0" relativeHeight="251658244" behindDoc="1" locked="1" layoutInCell="1" allowOverlap="1" wp14:anchorId="5B14846D" wp14:editId="3D293665">
              <wp:simplePos x="0" y="0"/>
              <wp:positionH relativeFrom="page">
                <wp:posOffset>0</wp:posOffset>
              </wp:positionH>
              <wp:positionV relativeFrom="page">
                <wp:posOffset>6642735</wp:posOffset>
              </wp:positionV>
              <wp:extent cx="7578090" cy="3834130"/>
              <wp:effectExtent l="0" t="0" r="381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8090" cy="3834130"/>
                      </a:xfrm>
                      <a:prstGeom prst="rect">
                        <a:avLst/>
                      </a:prstGeom>
                      <a:gradFill rotWithShape="1">
                        <a:gsLst>
                          <a:gs pos="0">
                            <a:srgbClr val="FFFFFF">
                              <a:alpha val="25000"/>
                            </a:srgbClr>
                          </a:gs>
                          <a:gs pos="100000">
                            <a:srgbClr val="DCDCD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E9BBE" id="Rectangle 5" o:spid="_x0000_s1026" style="position:absolute;margin-left:0;margin-top:523.05pt;width:596.7pt;height:301.9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" stroked="f">
              <v:fill opacity=".25" color2="#dcdcdc" rotate="t" focus="100%" type="gradient"/>
              <w10:wrap anchorx="page" anchory="page"/>
              <w10:anchorlock/>
            </v:rect>
          </w:pict>
        </mc:Fallback>
      </mc:AlternateContent>
    </w:r>
    <w:r>
      <w:rPr>
        <w:noProof/>
        <w:lang w:val="sl-SI" w:eastAsia="sl-SI"/>
      </w:rPr>
      <w:drawing>
        <wp:anchor distT="0" distB="0" distL="114300" distR="114300" simplePos="0" relativeHeight="251658245" behindDoc="1" locked="1" layoutInCell="1" allowOverlap="1" wp14:anchorId="711890A3" wp14:editId="5671B626">
          <wp:simplePos x="0" y="0"/>
          <wp:positionH relativeFrom="page">
            <wp:posOffset>0</wp:posOffset>
          </wp:positionH>
          <wp:positionV relativeFrom="page">
            <wp:posOffset>9725025</wp:posOffset>
          </wp:positionV>
          <wp:extent cx="6994525" cy="426085"/>
          <wp:effectExtent l="0" t="0" r="0" b="0"/>
          <wp:wrapNone/>
          <wp:docPr id="13" name="Grafik 3" descr="Footer.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wmf"/>
                  <pic:cNvPicPr/>
                </pic:nvPicPr>
                <pic:blipFill>
                  <a:blip r:embed="rId1"/>
                  <a:stretch>
                    <a:fillRect/>
                  </a:stretch>
                </pic:blipFill>
                <pic:spPr>
                  <a:xfrm>
                    <a:off x="0" y="0"/>
                    <a:ext cx="6994525" cy="4260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0F7A9" w14:textId="77777777" w:rsidR="00C232EF" w:rsidRDefault="00C232EF" w:rsidP="00B04144">
      <w:r>
        <w:separator/>
      </w:r>
    </w:p>
  </w:footnote>
  <w:footnote w:type="continuationSeparator" w:id="0">
    <w:p w14:paraId="49796848" w14:textId="77777777" w:rsidR="00C232EF" w:rsidRDefault="00C232EF" w:rsidP="00B04144">
      <w:r>
        <w:continuationSeparator/>
      </w:r>
    </w:p>
  </w:footnote>
  <w:footnote w:type="continuationNotice" w:id="1">
    <w:p w14:paraId="5ED0EA69" w14:textId="77777777" w:rsidR="00C232EF" w:rsidRDefault="00C232EF"/>
  </w:footnote>
  <w:footnote w:id="2">
    <w:p w14:paraId="51D7057B" w14:textId="77777777" w:rsidR="004F235A" w:rsidRPr="009728D8" w:rsidRDefault="004F235A" w:rsidP="00EC762B">
      <w:pPr>
        <w:pStyle w:val="FootnoteText"/>
        <w:rPr>
          <w:lang w:val="en-US"/>
        </w:rPr>
      </w:pPr>
      <w:r>
        <w:rPr>
          <w:rStyle w:val="FootnoteReference"/>
        </w:rPr>
        <w:footnoteRef/>
      </w:r>
      <w:r>
        <w:t xml:space="preserve"> E</w:t>
      </w:r>
      <w:r w:rsidRPr="00610D3B">
        <w:rPr>
          <w:color w:val="000000" w:themeColor="text1"/>
        </w:rPr>
        <w:t>xemption decision granted to these entities by relevant competent Authorities in accordance with article 17 of Regulation (EC) 714/2009.</w:t>
      </w:r>
    </w:p>
  </w:footnote>
  <w:footnote w:id="3">
    <w:p w14:paraId="40FA1BC5" w14:textId="77777777" w:rsidR="004F235A" w:rsidRPr="00D6339A" w:rsidRDefault="004F235A" w:rsidP="00EC762B">
      <w:pPr>
        <w:pStyle w:val="FootnoteText"/>
        <w:rPr>
          <w:lang w:val="en-US"/>
        </w:rPr>
      </w:pPr>
      <w:r>
        <w:rPr>
          <w:rStyle w:val="FootnoteReference"/>
        </w:rPr>
        <w:footnoteRef/>
      </w:r>
      <w:r>
        <w:t xml:space="preserve"> D</w:t>
      </w:r>
      <w:r w:rsidRPr="00610D3B">
        <w:t>ecisions</w:t>
      </w:r>
      <w:r>
        <w:t xml:space="preserve"> </w:t>
      </w:r>
      <w:r w:rsidRPr="00610D3B">
        <w:t>on cross-border cost allocation</w:t>
      </w:r>
      <w:r w:rsidRPr="00610D3B">
        <w:rPr>
          <w:color w:val="000000" w:themeColor="text1"/>
        </w:rPr>
        <w:t xml:space="preserve"> granted to these entities by relevant competent Authorities</w:t>
      </w:r>
      <w:r>
        <w:rPr>
          <w:color w:val="000000" w:themeColor="text1"/>
        </w:rPr>
        <w:t xml:space="preserve"> or the Agency</w:t>
      </w:r>
      <w:r w:rsidRPr="00610D3B">
        <w:rPr>
          <w:color w:val="000000" w:themeColor="text1"/>
        </w:rPr>
        <w:t xml:space="preserve"> in accordance with article </w:t>
      </w:r>
      <w:r>
        <w:rPr>
          <w:color w:val="000000" w:themeColor="text1"/>
        </w:rPr>
        <w:t>12(4) or 12(6)</w:t>
      </w:r>
      <w:r w:rsidRPr="00610D3B">
        <w:rPr>
          <w:color w:val="000000" w:themeColor="text1"/>
        </w:rPr>
        <w:t xml:space="preserve"> of Regulation (EC) </w:t>
      </w:r>
      <w:r>
        <w:rPr>
          <w:color w:val="000000" w:themeColor="text1"/>
        </w:rPr>
        <w:t>347/2013</w:t>
      </w:r>
      <w:r w:rsidRPr="00610D3B">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2EF29" w14:textId="79072B95" w:rsidR="004F235A" w:rsidRDefault="00C232EF">
    <w:pPr>
      <w:pStyle w:val="Header"/>
    </w:pPr>
    <w:r>
      <w:rPr>
        <w:noProof/>
      </w:rPr>
      <w:pict w14:anchorId="3530D0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9404" o:spid="_x0000_s2051" type="#_x0000_t136" alt="" style="position:absolute;margin-left:0;margin-top:0;width:479.55pt;height:191.8pt;rotation:315;z-index:-2516582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6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62"/>
    </w:tblGrid>
    <w:tr w:rsidR="004F235A" w:rsidRPr="00696EBB" w14:paraId="1F2E18D6" w14:textId="77777777" w:rsidTr="004F235A">
      <w:trPr>
        <w:trHeight w:hRule="exact" w:val="1295"/>
      </w:trPr>
      <w:sdt>
        <w:sdtPr>
          <w:rPr>
            <w:sz w:val="20"/>
          </w:rPr>
          <w:alias w:val="Titel"/>
          <w:tag w:val="Titel"/>
          <w:id w:val="142390586"/>
          <w:dataBinding w:prefixMappings="xmlns:ns0='http://purl.org/dc/elements/1.1/' xmlns:ns1='http://schemas.openxmlformats.org/package/2006/metadata/core-properties' " w:xpath="/ns1:coreProperties[1]/ns0:title[1]" w:storeItemID="{6C3C8BC8-F283-45AE-878A-BAB7291924A1}"/>
          <w:text w:multiLine="1"/>
        </w:sdtPr>
        <w:sdtEndPr/>
        <w:sdtContent>
          <w:tc>
            <w:tcPr>
              <w:tcW w:w="6762" w:type="dxa"/>
            </w:tcPr>
            <w:p w14:paraId="47D706D6" w14:textId="4EBE29CE" w:rsidR="004F235A" w:rsidRPr="00992ABA" w:rsidRDefault="004F235A" w:rsidP="00CA0C0C">
              <w:pPr>
                <w:rPr>
                  <w:lang w:val="en-US"/>
                </w:rPr>
              </w:pPr>
              <w:r w:rsidRPr="004F235A">
                <w:rPr>
                  <w:sz w:val="20"/>
                </w:rPr>
                <w:t>Core CCR TSOs’ Methodology for an allocation process of cross-zonal capacity for the exchange of balancing capacity or sharing of reserves based on economic efficiency analysis in accordance with article 42 of the Commission Regulation on (EU) 2017/2195 of 23 November 2017 establishing a guideline on electricity balancing</w:t>
              </w:r>
            </w:p>
          </w:tc>
        </w:sdtContent>
      </w:sdt>
    </w:tr>
  </w:tbl>
  <w:p w14:paraId="467B7C18" w14:textId="155A2812" w:rsidR="004F235A" w:rsidRDefault="00C232EF" w:rsidP="003D0965">
    <w:pPr>
      <w:pStyle w:val="Footer"/>
    </w:pPr>
    <w:r>
      <w:rPr>
        <w:noProof/>
      </w:rPr>
      <w:pict w14:anchorId="54A1CD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9405" o:spid="_x0000_s2050" type="#_x0000_t136" alt="" style="position:absolute;margin-left:0;margin-top:0;width:479.55pt;height:191.8pt;rotation:315;z-index:-251658231;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r w:rsidR="004F235A">
      <w:rPr>
        <w:noProof/>
        <w:lang w:val="sl-SI" w:eastAsia="sl-SI"/>
      </w:rPr>
      <mc:AlternateContent>
        <mc:Choice Requires="wps">
          <w:drawing>
            <wp:anchor distT="4294967294" distB="4294967294" distL="114300" distR="114300" simplePos="0" relativeHeight="251658241" behindDoc="0" locked="1" layoutInCell="1" allowOverlap="1" wp14:anchorId="7A58AA7A" wp14:editId="346F981E">
              <wp:simplePos x="0" y="0"/>
              <wp:positionH relativeFrom="page">
                <wp:posOffset>876935</wp:posOffset>
              </wp:positionH>
              <wp:positionV relativeFrom="page">
                <wp:posOffset>1249680</wp:posOffset>
              </wp:positionV>
              <wp:extent cx="6047740" cy="0"/>
              <wp:effectExtent l="0" t="0" r="2921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straightConnector1">
                        <a:avLst/>
                      </a:prstGeom>
                      <a:noFill/>
                      <a:ln w="127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8F26EC" id="_x0000_t32" coordsize="21600,21600" o:spt="32" o:oned="t" path="m,l21600,21600e" filled="f">
              <v:path arrowok="t" fillok="f" o:connecttype="none"/>
              <o:lock v:ext="edit" shapetype="t"/>
            </v:shapetype>
            <v:shape id="AutoShape 8" o:spid="_x0000_s1026" type="#_x0000_t32" style="position:absolute;margin-left:69.05pt;margin-top:98.4pt;width:476.2pt;height:0;z-index:251658241;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" strokecolor="#23236e [3215]" strokeweight="1pt">
              <w10:wrap anchorx="page" anchory="page"/>
              <w10:anchorlock/>
            </v:shape>
          </w:pict>
        </mc:Fallback>
      </mc:AlternateContent>
    </w:r>
    <w:r w:rsidR="004F235A">
      <w:rPr>
        <w:noProof/>
        <w:lang w:val="sl-SI" w:eastAsia="sl-SI"/>
      </w:rPr>
      <w:drawing>
        <wp:anchor distT="0" distB="0" distL="114300" distR="114300" simplePos="0" relativeHeight="251658240" behindDoc="0" locked="1" layoutInCell="1" allowOverlap="1" wp14:anchorId="71DDEFFF" wp14:editId="6A4D0B69">
          <wp:simplePos x="0" y="0"/>
          <wp:positionH relativeFrom="page">
            <wp:posOffset>5483225</wp:posOffset>
          </wp:positionH>
          <wp:positionV relativeFrom="page">
            <wp:posOffset>360045</wp:posOffset>
          </wp:positionV>
          <wp:extent cx="1514475" cy="381000"/>
          <wp:effectExtent l="0" t="0" r="9525" b="0"/>
          <wp:wrapNone/>
          <wp:docPr id="7" name="Grafik 5"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a:srcRect l="48293"/>
                  <a:stretch>
                    <a:fillRect/>
                  </a:stretch>
                </pic:blipFill>
                <pic:spPr>
                  <a:xfrm>
                    <a:off x="0" y="0"/>
                    <a:ext cx="1514475" cy="381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42" w:rightFromText="142" w:topFromText="5528" w:vertAnchor="page" w:horzAnchor="page" w:tblpX="1362" w:tblpY="5104"/>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24"/>
    </w:tblGrid>
    <w:tr w:rsidR="004F235A" w14:paraId="17970E2B" w14:textId="77777777" w:rsidTr="006A737C">
      <w:tc>
        <w:tcPr>
          <w:tcW w:w="9524" w:type="dxa"/>
          <w:tcMar>
            <w:top w:w="198" w:type="dxa"/>
          </w:tcMar>
        </w:tcPr>
        <w:p w14:paraId="44A8B791" w14:textId="77777777" w:rsidR="004F235A" w:rsidRDefault="004F235A" w:rsidP="001A1FAB">
          <w:pPr>
            <w:pStyle w:val="headlineheader"/>
            <w:framePr w:hSpace="0" w:vSpace="0" w:wrap="auto" w:vAnchor="margin" w:hAnchor="text" w:xAlign="left" w:yAlign="inline"/>
            <w:rPr>
              <w:lang w:val="en-US"/>
            </w:rPr>
          </w:pPr>
        </w:p>
      </w:tc>
    </w:tr>
    <w:tr w:rsidR="004F235A" w14:paraId="486CBD7B" w14:textId="77777777" w:rsidTr="006A737C">
      <w:tc>
        <w:tcPr>
          <w:tcW w:w="9524" w:type="dxa"/>
        </w:tcPr>
        <w:p w14:paraId="19074EF5" w14:textId="77777777" w:rsidR="004F235A" w:rsidRPr="00AF06B7" w:rsidRDefault="004F235A" w:rsidP="006A737C">
          <w:pPr>
            <w:pStyle w:val="textheader"/>
          </w:pPr>
        </w:p>
      </w:tc>
    </w:tr>
    <w:tr w:rsidR="004F235A" w14:paraId="4516F0D2" w14:textId="77777777" w:rsidTr="006A737C">
      <w:tc>
        <w:tcPr>
          <w:tcW w:w="9524" w:type="dxa"/>
        </w:tcPr>
        <w:p w14:paraId="0EAE0588" w14:textId="77777777" w:rsidR="004F235A" w:rsidRPr="007A686E" w:rsidRDefault="004F235A" w:rsidP="006A737C">
          <w:pPr>
            <w:pStyle w:val="textheader"/>
          </w:pPr>
        </w:p>
      </w:tc>
    </w:tr>
    <w:tr w:rsidR="004F235A" w:rsidRPr="00903B95" w14:paraId="4E4D495B" w14:textId="77777777" w:rsidTr="006A737C">
      <w:tc>
        <w:tcPr>
          <w:tcW w:w="9524" w:type="dxa"/>
          <w:tcMar>
            <w:bottom w:w="142" w:type="dxa"/>
          </w:tcMar>
        </w:tcPr>
        <w:p w14:paraId="1C218DE5" w14:textId="77777777" w:rsidR="004F235A" w:rsidRPr="00256312" w:rsidRDefault="004F235A" w:rsidP="001A1FAB">
          <w:pPr>
            <w:pStyle w:val="time"/>
            <w:framePr w:hSpace="0" w:vSpace="0" w:wrap="auto" w:vAnchor="margin" w:hAnchor="text" w:xAlign="left" w:yAlign="inline"/>
          </w:pPr>
        </w:p>
      </w:tc>
    </w:tr>
  </w:tbl>
  <w:p w14:paraId="0604069F" w14:textId="26C5CD9D" w:rsidR="004F235A" w:rsidRDefault="00C232EF">
    <w:pPr>
      <w:pStyle w:val="Header"/>
    </w:pPr>
    <w:r>
      <w:rPr>
        <w:noProof/>
      </w:rPr>
      <w:pict w14:anchorId="2EB1B1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9403" o:spid="_x0000_s2049" type="#_x0000_t136" alt="" style="position:absolute;margin-left:0;margin-top:0;width:479.55pt;height:191.8pt;rotation:315;z-index:-251658233;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r w:rsidR="004F235A">
      <w:rPr>
        <w:noProof/>
        <w:lang w:val="sl-SI" w:eastAsia="sl-SI"/>
      </w:rPr>
      <w:drawing>
        <wp:anchor distT="0" distB="0" distL="114300" distR="114300" simplePos="0" relativeHeight="251658243" behindDoc="0" locked="1" layoutInCell="1" allowOverlap="1" wp14:anchorId="0ED5F910" wp14:editId="41C082F9">
          <wp:simplePos x="0" y="0"/>
          <wp:positionH relativeFrom="page">
            <wp:posOffset>4068445</wp:posOffset>
          </wp:positionH>
          <wp:positionV relativeFrom="page">
            <wp:posOffset>720090</wp:posOffset>
          </wp:positionV>
          <wp:extent cx="2930400" cy="383059"/>
          <wp:effectExtent l="19050" t="0" r="3300" b="0"/>
          <wp:wrapNone/>
          <wp:docPr id="12" name="Grafik 5"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a:stretch>
                    <a:fillRect/>
                  </a:stretch>
                </pic:blipFill>
                <pic:spPr>
                  <a:xfrm>
                    <a:off x="0" y="0"/>
                    <a:ext cx="2930400" cy="3830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3C16"/>
    <w:multiLevelType w:val="hybridMultilevel"/>
    <w:tmpl w:val="F170110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E5E3C"/>
    <w:multiLevelType w:val="hybridMultilevel"/>
    <w:tmpl w:val="F170110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D1AE2"/>
    <w:multiLevelType w:val="hybridMultilevel"/>
    <w:tmpl w:val="FF0C343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FE15B8C"/>
    <w:multiLevelType w:val="hybridMultilevel"/>
    <w:tmpl w:val="0A128E14"/>
    <w:lvl w:ilvl="0" w:tplc="19E48E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989"/>
    <w:multiLevelType w:val="hybridMultilevel"/>
    <w:tmpl w:val="099890EA"/>
    <w:lvl w:ilvl="0" w:tplc="0407000F">
      <w:start w:val="1"/>
      <w:numFmt w:val="decimal"/>
      <w:lvlText w:val="%1."/>
      <w:lvlJc w:val="left"/>
      <w:pPr>
        <w:ind w:left="720" w:hanging="360"/>
      </w:pPr>
    </w:lvl>
    <w:lvl w:ilvl="1" w:tplc="277E801A">
      <w:start w:val="1"/>
      <w:numFmt w:val="lowerLetter"/>
      <w:lvlText w:val="(%2)"/>
      <w:lvlJc w:val="left"/>
      <w:pPr>
        <w:ind w:left="1440" w:hanging="360"/>
      </w:pPr>
      <w:rPr>
        <w:rFonts w:hint="default"/>
        <w:sz w:val="1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E0544"/>
    <w:multiLevelType w:val="hybridMultilevel"/>
    <w:tmpl w:val="447841C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11767"/>
    <w:multiLevelType w:val="hybridMultilevel"/>
    <w:tmpl w:val="CDCA5262"/>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1DF743F8"/>
    <w:multiLevelType w:val="hybridMultilevel"/>
    <w:tmpl w:val="A5BA52E8"/>
    <w:lvl w:ilvl="0" w:tplc="0407000F">
      <w:start w:val="1"/>
      <w:numFmt w:val="decimal"/>
      <w:lvlText w:val="%1."/>
      <w:lvlJc w:val="left"/>
      <w:pPr>
        <w:ind w:left="363" w:hanging="360"/>
      </w:p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10" w15:restartNumberingAfterBreak="0">
    <w:nsid w:val="295C6F2E"/>
    <w:multiLevelType w:val="hybridMultilevel"/>
    <w:tmpl w:val="09EABCDA"/>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F5838"/>
    <w:multiLevelType w:val="hybridMultilevel"/>
    <w:tmpl w:val="A4700240"/>
    <w:lvl w:ilvl="0" w:tplc="0410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C13E21"/>
    <w:multiLevelType w:val="hybridMultilevel"/>
    <w:tmpl w:val="7AF8F19A"/>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277E801A">
      <w:start w:val="1"/>
      <w:numFmt w:val="low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2C4E68E6"/>
    <w:multiLevelType w:val="hybridMultilevel"/>
    <w:tmpl w:val="2F0A1058"/>
    <w:lvl w:ilvl="0" w:tplc="0407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A26AA2"/>
    <w:multiLevelType w:val="hybridMultilevel"/>
    <w:tmpl w:val="3B1C3160"/>
    <w:lvl w:ilvl="0" w:tplc="39886B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63EEF"/>
    <w:multiLevelType w:val="hybridMultilevel"/>
    <w:tmpl w:val="2A7A13D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78F293F"/>
    <w:multiLevelType w:val="hybridMultilevel"/>
    <w:tmpl w:val="2DE0368E"/>
    <w:lvl w:ilvl="0" w:tplc="0410000F">
      <w:start w:val="1"/>
      <w:numFmt w:val="decimal"/>
      <w:lvlText w:val="%1."/>
      <w:lvlJc w:val="left"/>
      <w:pPr>
        <w:ind w:left="360" w:hanging="360"/>
      </w:pPr>
    </w:lvl>
    <w:lvl w:ilvl="1" w:tplc="277E801A">
      <w:start w:val="1"/>
      <w:numFmt w:val="lowerLetter"/>
      <w:lvlText w:val="(%2)"/>
      <w:lvlJc w:val="left"/>
      <w:pPr>
        <w:ind w:left="1080" w:hanging="360"/>
      </w:pPr>
      <w:rPr>
        <w:rFonts w:hint="default"/>
        <w:sz w:val="18"/>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8943C0B"/>
    <w:multiLevelType w:val="hybridMultilevel"/>
    <w:tmpl w:val="0D52548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9290F54"/>
    <w:multiLevelType w:val="hybridMultilevel"/>
    <w:tmpl w:val="BD9207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AE94402"/>
    <w:multiLevelType w:val="hybridMultilevel"/>
    <w:tmpl w:val="9E60537E"/>
    <w:lvl w:ilvl="0" w:tplc="6972D724">
      <w:start w:val="1"/>
      <w:numFmt w:val="decimal"/>
      <w:pStyle w:val="headline1"/>
      <w:lvlText w:val="Article %1"/>
      <w:lvlJc w:val="left"/>
      <w:pPr>
        <w:ind w:left="844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B5C7717"/>
    <w:multiLevelType w:val="hybridMultilevel"/>
    <w:tmpl w:val="7BECAF7C"/>
    <w:lvl w:ilvl="0" w:tplc="7BF8575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A23DD"/>
    <w:multiLevelType w:val="hybridMultilevel"/>
    <w:tmpl w:val="A5BA52E8"/>
    <w:lvl w:ilvl="0" w:tplc="0407000F">
      <w:start w:val="1"/>
      <w:numFmt w:val="decimal"/>
      <w:lvlText w:val="%1."/>
      <w:lvlJc w:val="left"/>
      <w:pPr>
        <w:ind w:left="363" w:hanging="360"/>
      </w:p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2" w15:restartNumberingAfterBreak="0">
    <w:nsid w:val="42AA34A7"/>
    <w:multiLevelType w:val="hybridMultilevel"/>
    <w:tmpl w:val="50705760"/>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3E528D"/>
    <w:multiLevelType w:val="hybridMultilevel"/>
    <w:tmpl w:val="48FAFF66"/>
    <w:lvl w:ilvl="0" w:tplc="15D6F776">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44577F87"/>
    <w:multiLevelType w:val="hybridMultilevel"/>
    <w:tmpl w:val="9C9A6084"/>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5C78EE"/>
    <w:multiLevelType w:val="multilevel"/>
    <w:tmpl w:val="6714D5BC"/>
    <w:styleLink w:val="XXXNummerierung"/>
    <w:lvl w:ilvl="0">
      <w:start w:val="1"/>
      <w:numFmt w:val="decimal"/>
      <w:pStyle w:val="textenumeration"/>
      <w:lvlText w:val="%1."/>
      <w:lvlJc w:val="left"/>
      <w:pPr>
        <w:ind w:left="357" w:hanging="357"/>
      </w:pPr>
      <w:rPr>
        <w:rFonts w:ascii="Times New Roman" w:hAnsi="Times New Roman"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D797336"/>
    <w:multiLevelType w:val="hybridMultilevel"/>
    <w:tmpl w:val="0DD88B24"/>
    <w:lvl w:ilvl="0" w:tplc="0B0E65D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AB6AAE"/>
    <w:multiLevelType w:val="hybridMultilevel"/>
    <w:tmpl w:val="9C9A6084"/>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CC45D2"/>
    <w:multiLevelType w:val="hybridMultilevel"/>
    <w:tmpl w:val="C2A4AA94"/>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665B8B"/>
    <w:multiLevelType w:val="hybridMultilevel"/>
    <w:tmpl w:val="8AFE9E14"/>
    <w:lvl w:ilvl="0" w:tplc="E9DC615A">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4A3354"/>
    <w:multiLevelType w:val="multilevel"/>
    <w:tmpl w:val="080C001F"/>
    <w:styleLink w:val="XXXList"/>
    <w:lvl w:ilvl="0">
      <w:start w:val="1"/>
      <w:numFmt w:val="decimal"/>
      <w:lvlText w:val="%1."/>
      <w:lvlJc w:val="left"/>
      <w:pPr>
        <w:ind w:left="360" w:hanging="360"/>
      </w:pPr>
      <w:rPr>
        <w:rFonts w:hint="default"/>
        <w:b/>
        <w:i w:val="0"/>
        <w:color w:val="23236E" w:themeColor="text2"/>
        <w:sz w:val="28"/>
        <w:u w:color="23236E"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23236E" w:themeColor="text2"/>
        <w:sz w:val="28"/>
        <w:u w:color="23236E" w:themeColor="text2"/>
      </w:rPr>
    </w:lvl>
  </w:abstractNum>
  <w:abstractNum w:abstractNumId="31"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5F0352D6"/>
    <w:multiLevelType w:val="hybridMultilevel"/>
    <w:tmpl w:val="F37693BA"/>
    <w:lvl w:ilvl="0" w:tplc="DDAA57CA">
      <w:start w:val="1"/>
      <w:numFmt w:val="lowerLetter"/>
      <w:lvlText w:val="(%1)"/>
      <w:lvlJc w:val="left"/>
      <w:pPr>
        <w:ind w:left="928"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B1679D"/>
    <w:multiLevelType w:val="hybridMultilevel"/>
    <w:tmpl w:val="8EBC4B3A"/>
    <w:lvl w:ilvl="0" w:tplc="0407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32E38E8"/>
    <w:multiLevelType w:val="hybridMultilevel"/>
    <w:tmpl w:val="BD9207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653F5C8D"/>
    <w:multiLevelType w:val="hybridMultilevel"/>
    <w:tmpl w:val="20D4AAB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66383CC6"/>
    <w:multiLevelType w:val="hybridMultilevel"/>
    <w:tmpl w:val="76483AFC"/>
    <w:lvl w:ilvl="0" w:tplc="277E801A">
      <w:start w:val="1"/>
      <w:numFmt w:val="lowerLetter"/>
      <w:lvlText w:val="(%1)"/>
      <w:lvlJc w:val="left"/>
      <w:pPr>
        <w:ind w:left="108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B272B1"/>
    <w:multiLevelType w:val="hybridMultilevel"/>
    <w:tmpl w:val="F170110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687F75"/>
    <w:multiLevelType w:val="hybridMultilevel"/>
    <w:tmpl w:val="2A7A13D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6DB221F4"/>
    <w:multiLevelType w:val="hybridMultilevel"/>
    <w:tmpl w:val="7F042B3C"/>
    <w:lvl w:ilvl="0" w:tplc="0407000F">
      <w:start w:val="1"/>
      <w:numFmt w:val="decimal"/>
      <w:lvlText w:val="%1."/>
      <w:lvlJc w:val="left"/>
      <w:pPr>
        <w:ind w:left="720" w:hanging="360"/>
      </w:pPr>
    </w:lvl>
    <w:lvl w:ilvl="1" w:tplc="277E801A">
      <w:start w:val="1"/>
      <w:numFmt w:val="lowerLetter"/>
      <w:lvlText w:val="(%2)"/>
      <w:lvlJc w:val="left"/>
      <w:pPr>
        <w:ind w:left="1440" w:hanging="360"/>
      </w:pPr>
      <w:rPr>
        <w:rFonts w:hint="default"/>
        <w:sz w:val="1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2B37C0"/>
    <w:multiLevelType w:val="hybridMultilevel"/>
    <w:tmpl w:val="0D52548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6FFC5D19"/>
    <w:multiLevelType w:val="hybridMultilevel"/>
    <w:tmpl w:val="F170110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EB42AF"/>
    <w:multiLevelType w:val="hybridMultilevel"/>
    <w:tmpl w:val="156660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681F69"/>
    <w:multiLevelType w:val="hybridMultilevel"/>
    <w:tmpl w:val="39780394"/>
    <w:lvl w:ilvl="0" w:tplc="0410000F">
      <w:start w:val="1"/>
      <w:numFmt w:val="decimal"/>
      <w:lvlText w:val="%1."/>
      <w:lvlJc w:val="left"/>
      <w:pPr>
        <w:ind w:left="360" w:hanging="360"/>
      </w:pPr>
    </w:lvl>
    <w:lvl w:ilvl="1" w:tplc="277E801A">
      <w:start w:val="1"/>
      <w:numFmt w:val="lowerLetter"/>
      <w:lvlText w:val="(%2)"/>
      <w:lvlJc w:val="left"/>
      <w:pPr>
        <w:ind w:left="1080" w:hanging="360"/>
      </w:pPr>
      <w:rPr>
        <w:rFonts w:hint="default"/>
        <w:sz w:val="18"/>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74BA5F6D"/>
    <w:multiLevelType w:val="hybridMultilevel"/>
    <w:tmpl w:val="BD9207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15:restartNumberingAfterBreak="0">
    <w:nsid w:val="7F0A6F3D"/>
    <w:multiLevelType w:val="hybridMultilevel"/>
    <w:tmpl w:val="6ADAC730"/>
    <w:lvl w:ilvl="0" w:tplc="71DED4FA">
      <w:start w:val="1"/>
      <w:numFmt w:val="bullet"/>
      <w:lvlText w:val="‒"/>
      <w:lvlJc w:val="left"/>
      <w:pPr>
        <w:ind w:left="1068" w:hanging="360"/>
      </w:pPr>
      <w:rPr>
        <w:rFonts w:ascii="Times New Roman" w:hAnsi="Times New Roman" w:cs="Times New Roman"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0"/>
  </w:num>
  <w:num w:numId="2">
    <w:abstractNumId w:val="31"/>
  </w:num>
  <w:num w:numId="3">
    <w:abstractNumId w:val="25"/>
    <w:lvlOverride w:ilvl="0">
      <w:lvl w:ilvl="0">
        <w:start w:val="1"/>
        <w:numFmt w:val="decimal"/>
        <w:pStyle w:val="textenumeration"/>
        <w:lvlText w:val="%1."/>
        <w:lvlJc w:val="left"/>
        <w:pPr>
          <w:ind w:left="357" w:hanging="357"/>
        </w:pPr>
        <w:rPr>
          <w:rFonts w:ascii="Times New Roman" w:hAnsi="Times New Roman" w:hint="default"/>
          <w:sz w:val="22"/>
        </w:rPr>
      </w:lvl>
    </w:lvlOverride>
  </w:num>
  <w:num w:numId="4">
    <w:abstractNumId w:val="9"/>
  </w:num>
  <w:num w:numId="5">
    <w:abstractNumId w:val="6"/>
  </w:num>
  <w:num w:numId="6">
    <w:abstractNumId w:val="8"/>
  </w:num>
  <w:num w:numId="7">
    <w:abstractNumId w:val="12"/>
  </w:num>
  <w:num w:numId="8">
    <w:abstractNumId w:val="34"/>
  </w:num>
  <w:num w:numId="9">
    <w:abstractNumId w:val="2"/>
  </w:num>
  <w:num w:numId="10">
    <w:abstractNumId w:val="40"/>
  </w:num>
  <w:num w:numId="11">
    <w:abstractNumId w:val="43"/>
  </w:num>
  <w:num w:numId="12">
    <w:abstractNumId w:val="19"/>
  </w:num>
  <w:num w:numId="13">
    <w:abstractNumId w:val="35"/>
  </w:num>
  <w:num w:numId="14">
    <w:abstractNumId w:val="0"/>
  </w:num>
  <w:num w:numId="15">
    <w:abstractNumId w:val="28"/>
  </w:num>
  <w:num w:numId="16">
    <w:abstractNumId w:val="7"/>
  </w:num>
  <w:num w:numId="17">
    <w:abstractNumId w:val="27"/>
  </w:num>
  <w:num w:numId="18">
    <w:abstractNumId w:val="33"/>
  </w:num>
  <w:num w:numId="19">
    <w:abstractNumId w:val="5"/>
  </w:num>
  <w:num w:numId="20">
    <w:abstractNumId w:val="15"/>
  </w:num>
  <w:num w:numId="21">
    <w:abstractNumId w:val="38"/>
  </w:num>
  <w:num w:numId="22">
    <w:abstractNumId w:val="21"/>
  </w:num>
  <w:num w:numId="23">
    <w:abstractNumId w:val="13"/>
  </w:num>
  <w:num w:numId="24">
    <w:abstractNumId w:val="22"/>
  </w:num>
  <w:num w:numId="25">
    <w:abstractNumId w:val="11"/>
  </w:num>
  <w:num w:numId="26">
    <w:abstractNumId w:val="17"/>
  </w:num>
  <w:num w:numId="27">
    <w:abstractNumId w:val="45"/>
  </w:num>
  <w:num w:numId="28">
    <w:abstractNumId w:val="18"/>
  </w:num>
  <w:num w:numId="29">
    <w:abstractNumId w:val="37"/>
  </w:num>
  <w:num w:numId="30">
    <w:abstractNumId w:val="1"/>
  </w:num>
  <w:num w:numId="31">
    <w:abstractNumId w:val="41"/>
  </w:num>
  <w:num w:numId="32">
    <w:abstractNumId w:val="29"/>
  </w:num>
  <w:num w:numId="33">
    <w:abstractNumId w:val="3"/>
  </w:num>
  <w:num w:numId="34">
    <w:abstractNumId w:val="36"/>
  </w:num>
  <w:num w:numId="35">
    <w:abstractNumId w:val="23"/>
  </w:num>
  <w:num w:numId="36">
    <w:abstractNumId w:val="16"/>
  </w:num>
  <w:num w:numId="37">
    <w:abstractNumId w:val="44"/>
  </w:num>
  <w:num w:numId="38">
    <w:abstractNumId w:val="10"/>
  </w:num>
  <w:num w:numId="39">
    <w:abstractNumId w:val="39"/>
  </w:num>
  <w:num w:numId="40">
    <w:abstractNumId w:val="32"/>
  </w:num>
  <w:num w:numId="41">
    <w:abstractNumId w:val="25"/>
  </w:num>
  <w:num w:numId="42">
    <w:abstractNumId w:val="20"/>
  </w:num>
  <w:num w:numId="43">
    <w:abstractNumId w:val="14"/>
  </w:num>
  <w:num w:numId="44">
    <w:abstractNumId w:val="26"/>
  </w:num>
  <w:num w:numId="45">
    <w:abstractNumId w:val="4"/>
  </w:num>
  <w:num w:numId="46">
    <w:abstractNumId w:val="42"/>
  </w:num>
  <w:num w:numId="47">
    <w:abstractNumId w:val="42"/>
  </w:num>
  <w:num w:numId="4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attachedTemplate r:id="rId1"/>
  <w:trackRevisions/>
  <w:doNotTrackFormatting/>
  <w:defaultTabStop w:val="708"/>
  <w:hyphenationZone w:val="425"/>
  <w:drawingGridHorizontalSpacing w:val="110"/>
  <w:displayHorizontalDrawingGridEvery w:val="2"/>
  <w:characterSpacingControl w:val="doNotCompress"/>
  <w:hdrShapeDefaults>
    <o:shapedefaults v:ext="edit" spidmax="2052" style="mso-position-horizontal-relative:page;mso-position-vertical-relative:page" strokecolor="none [3215]">
      <v:stroke color="none [3215]" weight="1pt"/>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CInMTY0sTSxMDc2NTIyUdpeDU4uLM/DyQAsNaAB9FLIUsAAAA"/>
  </w:docVars>
  <w:rsids>
    <w:rsidRoot w:val="00A10F07"/>
    <w:rsid w:val="00000169"/>
    <w:rsid w:val="00000249"/>
    <w:rsid w:val="000003B9"/>
    <w:rsid w:val="000005BD"/>
    <w:rsid w:val="00000651"/>
    <w:rsid w:val="0000065C"/>
    <w:rsid w:val="000011B0"/>
    <w:rsid w:val="00002150"/>
    <w:rsid w:val="000025AA"/>
    <w:rsid w:val="00004012"/>
    <w:rsid w:val="000048DE"/>
    <w:rsid w:val="00006873"/>
    <w:rsid w:val="00007F4F"/>
    <w:rsid w:val="00010408"/>
    <w:rsid w:val="000118B0"/>
    <w:rsid w:val="00011A8F"/>
    <w:rsid w:val="00012460"/>
    <w:rsid w:val="00012663"/>
    <w:rsid w:val="00012A1C"/>
    <w:rsid w:val="000137EB"/>
    <w:rsid w:val="000140AC"/>
    <w:rsid w:val="00015488"/>
    <w:rsid w:val="0001667E"/>
    <w:rsid w:val="000173D6"/>
    <w:rsid w:val="000179C1"/>
    <w:rsid w:val="00020055"/>
    <w:rsid w:val="000209E4"/>
    <w:rsid w:val="00022CB8"/>
    <w:rsid w:val="00022D11"/>
    <w:rsid w:val="000235E9"/>
    <w:rsid w:val="00023A5C"/>
    <w:rsid w:val="00023C94"/>
    <w:rsid w:val="00024957"/>
    <w:rsid w:val="00027B57"/>
    <w:rsid w:val="00030180"/>
    <w:rsid w:val="00032424"/>
    <w:rsid w:val="000336A7"/>
    <w:rsid w:val="0003392C"/>
    <w:rsid w:val="00033E6E"/>
    <w:rsid w:val="000356C0"/>
    <w:rsid w:val="000357A0"/>
    <w:rsid w:val="00035A65"/>
    <w:rsid w:val="00035E73"/>
    <w:rsid w:val="000366F1"/>
    <w:rsid w:val="00036F87"/>
    <w:rsid w:val="000373DD"/>
    <w:rsid w:val="00037F91"/>
    <w:rsid w:val="00042115"/>
    <w:rsid w:val="000429D4"/>
    <w:rsid w:val="00042D86"/>
    <w:rsid w:val="00043086"/>
    <w:rsid w:val="000445E6"/>
    <w:rsid w:val="00044996"/>
    <w:rsid w:val="0004508E"/>
    <w:rsid w:val="00045E03"/>
    <w:rsid w:val="00046D0D"/>
    <w:rsid w:val="00046FC1"/>
    <w:rsid w:val="000472A1"/>
    <w:rsid w:val="000508B7"/>
    <w:rsid w:val="00050E22"/>
    <w:rsid w:val="000510CE"/>
    <w:rsid w:val="00053056"/>
    <w:rsid w:val="00054050"/>
    <w:rsid w:val="00054D89"/>
    <w:rsid w:val="000561DA"/>
    <w:rsid w:val="00060437"/>
    <w:rsid w:val="000607EF"/>
    <w:rsid w:val="000626F6"/>
    <w:rsid w:val="00062E48"/>
    <w:rsid w:val="00063861"/>
    <w:rsid w:val="00063E5E"/>
    <w:rsid w:val="000640E2"/>
    <w:rsid w:val="0006467A"/>
    <w:rsid w:val="00064F0B"/>
    <w:rsid w:val="000675D9"/>
    <w:rsid w:val="0007001A"/>
    <w:rsid w:val="0007274E"/>
    <w:rsid w:val="000735DF"/>
    <w:rsid w:val="0007445D"/>
    <w:rsid w:val="00074AA7"/>
    <w:rsid w:val="000763F9"/>
    <w:rsid w:val="00076649"/>
    <w:rsid w:val="00076B2D"/>
    <w:rsid w:val="00077FAF"/>
    <w:rsid w:val="000817C5"/>
    <w:rsid w:val="00082BB9"/>
    <w:rsid w:val="00083281"/>
    <w:rsid w:val="00083F22"/>
    <w:rsid w:val="00084461"/>
    <w:rsid w:val="00085222"/>
    <w:rsid w:val="00085D3E"/>
    <w:rsid w:val="00087731"/>
    <w:rsid w:val="000877E3"/>
    <w:rsid w:val="000920AE"/>
    <w:rsid w:val="00092C31"/>
    <w:rsid w:val="00093484"/>
    <w:rsid w:val="0009375D"/>
    <w:rsid w:val="00093942"/>
    <w:rsid w:val="0009502C"/>
    <w:rsid w:val="00095B96"/>
    <w:rsid w:val="000961F8"/>
    <w:rsid w:val="00096787"/>
    <w:rsid w:val="00096798"/>
    <w:rsid w:val="00097225"/>
    <w:rsid w:val="00097E8E"/>
    <w:rsid w:val="000A0308"/>
    <w:rsid w:val="000A11C8"/>
    <w:rsid w:val="000A1342"/>
    <w:rsid w:val="000A24EC"/>
    <w:rsid w:val="000A28B8"/>
    <w:rsid w:val="000A2C78"/>
    <w:rsid w:val="000A3A13"/>
    <w:rsid w:val="000A3FB8"/>
    <w:rsid w:val="000A45F7"/>
    <w:rsid w:val="000A5765"/>
    <w:rsid w:val="000A71A1"/>
    <w:rsid w:val="000A7492"/>
    <w:rsid w:val="000A7B19"/>
    <w:rsid w:val="000A7F43"/>
    <w:rsid w:val="000B0939"/>
    <w:rsid w:val="000B183D"/>
    <w:rsid w:val="000B23F1"/>
    <w:rsid w:val="000B2D2E"/>
    <w:rsid w:val="000B3D5F"/>
    <w:rsid w:val="000B5F21"/>
    <w:rsid w:val="000B6BD7"/>
    <w:rsid w:val="000B7651"/>
    <w:rsid w:val="000B7A6B"/>
    <w:rsid w:val="000C02AA"/>
    <w:rsid w:val="000C081E"/>
    <w:rsid w:val="000C1404"/>
    <w:rsid w:val="000C1901"/>
    <w:rsid w:val="000C1BDF"/>
    <w:rsid w:val="000C282A"/>
    <w:rsid w:val="000C3EBA"/>
    <w:rsid w:val="000C4633"/>
    <w:rsid w:val="000C50C7"/>
    <w:rsid w:val="000C5F91"/>
    <w:rsid w:val="000C6465"/>
    <w:rsid w:val="000C763D"/>
    <w:rsid w:val="000C777B"/>
    <w:rsid w:val="000C7929"/>
    <w:rsid w:val="000C7C91"/>
    <w:rsid w:val="000D0842"/>
    <w:rsid w:val="000D19EE"/>
    <w:rsid w:val="000D1A83"/>
    <w:rsid w:val="000D2604"/>
    <w:rsid w:val="000D31A4"/>
    <w:rsid w:val="000D360E"/>
    <w:rsid w:val="000D3FAF"/>
    <w:rsid w:val="000D4815"/>
    <w:rsid w:val="000D49E4"/>
    <w:rsid w:val="000D51A4"/>
    <w:rsid w:val="000D5C38"/>
    <w:rsid w:val="000D6C9D"/>
    <w:rsid w:val="000D6CF2"/>
    <w:rsid w:val="000D6DDD"/>
    <w:rsid w:val="000D7AA3"/>
    <w:rsid w:val="000E04B1"/>
    <w:rsid w:val="000E0873"/>
    <w:rsid w:val="000E1BB6"/>
    <w:rsid w:val="000E268A"/>
    <w:rsid w:val="000E32CD"/>
    <w:rsid w:val="000E32FA"/>
    <w:rsid w:val="000E39DF"/>
    <w:rsid w:val="000E41B2"/>
    <w:rsid w:val="000E4CD5"/>
    <w:rsid w:val="000E5E19"/>
    <w:rsid w:val="000E642E"/>
    <w:rsid w:val="000E7214"/>
    <w:rsid w:val="000E773E"/>
    <w:rsid w:val="000E7928"/>
    <w:rsid w:val="000F0261"/>
    <w:rsid w:val="000F0523"/>
    <w:rsid w:val="000F105D"/>
    <w:rsid w:val="000F1582"/>
    <w:rsid w:val="000F1606"/>
    <w:rsid w:val="000F1D46"/>
    <w:rsid w:val="000F1F21"/>
    <w:rsid w:val="000F22C4"/>
    <w:rsid w:val="000F2416"/>
    <w:rsid w:val="000F2853"/>
    <w:rsid w:val="000F2DFC"/>
    <w:rsid w:val="000F3D7D"/>
    <w:rsid w:val="000F415F"/>
    <w:rsid w:val="000F447B"/>
    <w:rsid w:val="000F4510"/>
    <w:rsid w:val="000F45F8"/>
    <w:rsid w:val="000F51E7"/>
    <w:rsid w:val="000F5893"/>
    <w:rsid w:val="000F58DB"/>
    <w:rsid w:val="000F627D"/>
    <w:rsid w:val="000F6310"/>
    <w:rsid w:val="000F693C"/>
    <w:rsid w:val="000F6F31"/>
    <w:rsid w:val="0010092F"/>
    <w:rsid w:val="00101814"/>
    <w:rsid w:val="00101AB3"/>
    <w:rsid w:val="00102A02"/>
    <w:rsid w:val="00102BB0"/>
    <w:rsid w:val="00102C27"/>
    <w:rsid w:val="00104938"/>
    <w:rsid w:val="0010511E"/>
    <w:rsid w:val="001059B1"/>
    <w:rsid w:val="00105DEA"/>
    <w:rsid w:val="00107537"/>
    <w:rsid w:val="0010762F"/>
    <w:rsid w:val="00107A15"/>
    <w:rsid w:val="00110443"/>
    <w:rsid w:val="0011150A"/>
    <w:rsid w:val="00112014"/>
    <w:rsid w:val="001124B6"/>
    <w:rsid w:val="00112580"/>
    <w:rsid w:val="0011332D"/>
    <w:rsid w:val="00113784"/>
    <w:rsid w:val="00114EF0"/>
    <w:rsid w:val="00114F54"/>
    <w:rsid w:val="00116EE2"/>
    <w:rsid w:val="001170AF"/>
    <w:rsid w:val="001179DB"/>
    <w:rsid w:val="00120464"/>
    <w:rsid w:val="001206D1"/>
    <w:rsid w:val="00121263"/>
    <w:rsid w:val="001220EC"/>
    <w:rsid w:val="00122170"/>
    <w:rsid w:val="00122521"/>
    <w:rsid w:val="001227E8"/>
    <w:rsid w:val="00122F33"/>
    <w:rsid w:val="001246DB"/>
    <w:rsid w:val="00124E0F"/>
    <w:rsid w:val="00125519"/>
    <w:rsid w:val="0013129D"/>
    <w:rsid w:val="00133E8A"/>
    <w:rsid w:val="00135071"/>
    <w:rsid w:val="00140797"/>
    <w:rsid w:val="00142539"/>
    <w:rsid w:val="0014258F"/>
    <w:rsid w:val="00143C39"/>
    <w:rsid w:val="001449A5"/>
    <w:rsid w:val="00145968"/>
    <w:rsid w:val="00145F78"/>
    <w:rsid w:val="0014697D"/>
    <w:rsid w:val="00146A17"/>
    <w:rsid w:val="00150168"/>
    <w:rsid w:val="00151284"/>
    <w:rsid w:val="00151B4A"/>
    <w:rsid w:val="00151C89"/>
    <w:rsid w:val="00151D7B"/>
    <w:rsid w:val="00152CAE"/>
    <w:rsid w:val="001540CD"/>
    <w:rsid w:val="0015530C"/>
    <w:rsid w:val="00155C22"/>
    <w:rsid w:val="00155F93"/>
    <w:rsid w:val="00156976"/>
    <w:rsid w:val="0016018A"/>
    <w:rsid w:val="0016087D"/>
    <w:rsid w:val="001608DF"/>
    <w:rsid w:val="00161CD5"/>
    <w:rsid w:val="00162B68"/>
    <w:rsid w:val="00165C5B"/>
    <w:rsid w:val="00165FDE"/>
    <w:rsid w:val="00166888"/>
    <w:rsid w:val="001675C6"/>
    <w:rsid w:val="00167C50"/>
    <w:rsid w:val="00170027"/>
    <w:rsid w:val="00170D5E"/>
    <w:rsid w:val="00170F1D"/>
    <w:rsid w:val="001735E0"/>
    <w:rsid w:val="00174666"/>
    <w:rsid w:val="00175575"/>
    <w:rsid w:val="001779B1"/>
    <w:rsid w:val="0018052C"/>
    <w:rsid w:val="0018178A"/>
    <w:rsid w:val="001827D8"/>
    <w:rsid w:val="00182BA6"/>
    <w:rsid w:val="0018322B"/>
    <w:rsid w:val="001853A1"/>
    <w:rsid w:val="0018540A"/>
    <w:rsid w:val="00185A01"/>
    <w:rsid w:val="00186689"/>
    <w:rsid w:val="00186BD1"/>
    <w:rsid w:val="00186C7D"/>
    <w:rsid w:val="0018757E"/>
    <w:rsid w:val="0018777D"/>
    <w:rsid w:val="001919A3"/>
    <w:rsid w:val="001933F9"/>
    <w:rsid w:val="00193449"/>
    <w:rsid w:val="00193ECF"/>
    <w:rsid w:val="00194D05"/>
    <w:rsid w:val="0019582C"/>
    <w:rsid w:val="00196528"/>
    <w:rsid w:val="00197B69"/>
    <w:rsid w:val="00197F68"/>
    <w:rsid w:val="001A0A9B"/>
    <w:rsid w:val="001A0C74"/>
    <w:rsid w:val="001A1787"/>
    <w:rsid w:val="001A1989"/>
    <w:rsid w:val="001A1BB5"/>
    <w:rsid w:val="001A1FAB"/>
    <w:rsid w:val="001A1FE2"/>
    <w:rsid w:val="001A2330"/>
    <w:rsid w:val="001A2C09"/>
    <w:rsid w:val="001A467E"/>
    <w:rsid w:val="001A51C2"/>
    <w:rsid w:val="001A551C"/>
    <w:rsid w:val="001A55A2"/>
    <w:rsid w:val="001A6211"/>
    <w:rsid w:val="001A6ED0"/>
    <w:rsid w:val="001A736A"/>
    <w:rsid w:val="001A76C5"/>
    <w:rsid w:val="001B127B"/>
    <w:rsid w:val="001B1D50"/>
    <w:rsid w:val="001B1F19"/>
    <w:rsid w:val="001B21B9"/>
    <w:rsid w:val="001B2C21"/>
    <w:rsid w:val="001B2EB0"/>
    <w:rsid w:val="001B35ED"/>
    <w:rsid w:val="001B3A9B"/>
    <w:rsid w:val="001B4C4A"/>
    <w:rsid w:val="001B4F2D"/>
    <w:rsid w:val="001B57E7"/>
    <w:rsid w:val="001B5E44"/>
    <w:rsid w:val="001B646F"/>
    <w:rsid w:val="001B7C05"/>
    <w:rsid w:val="001C02BD"/>
    <w:rsid w:val="001C064F"/>
    <w:rsid w:val="001C09F1"/>
    <w:rsid w:val="001C1DF6"/>
    <w:rsid w:val="001C22D4"/>
    <w:rsid w:val="001C238F"/>
    <w:rsid w:val="001C268D"/>
    <w:rsid w:val="001C2ED2"/>
    <w:rsid w:val="001C4169"/>
    <w:rsid w:val="001C4B07"/>
    <w:rsid w:val="001C560B"/>
    <w:rsid w:val="001C72A5"/>
    <w:rsid w:val="001C72E0"/>
    <w:rsid w:val="001C785C"/>
    <w:rsid w:val="001D03F1"/>
    <w:rsid w:val="001D0606"/>
    <w:rsid w:val="001D178A"/>
    <w:rsid w:val="001D1845"/>
    <w:rsid w:val="001D1B82"/>
    <w:rsid w:val="001D42AD"/>
    <w:rsid w:val="001D46C2"/>
    <w:rsid w:val="001D5029"/>
    <w:rsid w:val="001D5544"/>
    <w:rsid w:val="001D56D4"/>
    <w:rsid w:val="001D713B"/>
    <w:rsid w:val="001D71D4"/>
    <w:rsid w:val="001D7785"/>
    <w:rsid w:val="001E07F1"/>
    <w:rsid w:val="001E0D37"/>
    <w:rsid w:val="001E16D6"/>
    <w:rsid w:val="001E21F7"/>
    <w:rsid w:val="001E2E2D"/>
    <w:rsid w:val="001E3ABE"/>
    <w:rsid w:val="001E3DFD"/>
    <w:rsid w:val="001E3E0B"/>
    <w:rsid w:val="001E4286"/>
    <w:rsid w:val="001E4F1D"/>
    <w:rsid w:val="001E55C0"/>
    <w:rsid w:val="001E5F7C"/>
    <w:rsid w:val="001E6652"/>
    <w:rsid w:val="001E6868"/>
    <w:rsid w:val="001E6BEF"/>
    <w:rsid w:val="001F098D"/>
    <w:rsid w:val="001F09FA"/>
    <w:rsid w:val="001F0B80"/>
    <w:rsid w:val="001F0B88"/>
    <w:rsid w:val="001F13A6"/>
    <w:rsid w:val="001F20C5"/>
    <w:rsid w:val="001F2299"/>
    <w:rsid w:val="001F28B9"/>
    <w:rsid w:val="001F35B2"/>
    <w:rsid w:val="001F5365"/>
    <w:rsid w:val="001F5DBD"/>
    <w:rsid w:val="001F6977"/>
    <w:rsid w:val="001F6D8C"/>
    <w:rsid w:val="001F734A"/>
    <w:rsid w:val="001F79E4"/>
    <w:rsid w:val="001F7DA6"/>
    <w:rsid w:val="002006EC"/>
    <w:rsid w:val="00200B16"/>
    <w:rsid w:val="002021B1"/>
    <w:rsid w:val="00202413"/>
    <w:rsid w:val="00202FDA"/>
    <w:rsid w:val="00204595"/>
    <w:rsid w:val="002045AF"/>
    <w:rsid w:val="00204643"/>
    <w:rsid w:val="00207406"/>
    <w:rsid w:val="002106B3"/>
    <w:rsid w:val="0021084E"/>
    <w:rsid w:val="00210DE9"/>
    <w:rsid w:val="00210F80"/>
    <w:rsid w:val="00211914"/>
    <w:rsid w:val="00211D7E"/>
    <w:rsid w:val="00212104"/>
    <w:rsid w:val="00213225"/>
    <w:rsid w:val="00214558"/>
    <w:rsid w:val="002152F2"/>
    <w:rsid w:val="0021591E"/>
    <w:rsid w:val="00216130"/>
    <w:rsid w:val="002161A7"/>
    <w:rsid w:val="00216EE9"/>
    <w:rsid w:val="00217B68"/>
    <w:rsid w:val="002204E4"/>
    <w:rsid w:val="00220937"/>
    <w:rsid w:val="002215F2"/>
    <w:rsid w:val="00221665"/>
    <w:rsid w:val="00221A91"/>
    <w:rsid w:val="00221FC8"/>
    <w:rsid w:val="00223F13"/>
    <w:rsid w:val="00224118"/>
    <w:rsid w:val="0022428D"/>
    <w:rsid w:val="002244A1"/>
    <w:rsid w:val="0022628E"/>
    <w:rsid w:val="00226C4A"/>
    <w:rsid w:val="002270E3"/>
    <w:rsid w:val="002275CF"/>
    <w:rsid w:val="0023120A"/>
    <w:rsid w:val="00231CA6"/>
    <w:rsid w:val="00231F6C"/>
    <w:rsid w:val="00232574"/>
    <w:rsid w:val="002325FF"/>
    <w:rsid w:val="002332FB"/>
    <w:rsid w:val="00237725"/>
    <w:rsid w:val="00237F76"/>
    <w:rsid w:val="00240795"/>
    <w:rsid w:val="00240F01"/>
    <w:rsid w:val="0024169C"/>
    <w:rsid w:val="0024239E"/>
    <w:rsid w:val="002423DE"/>
    <w:rsid w:val="002436FB"/>
    <w:rsid w:val="0024418B"/>
    <w:rsid w:val="00244559"/>
    <w:rsid w:val="00246321"/>
    <w:rsid w:val="00246498"/>
    <w:rsid w:val="00247449"/>
    <w:rsid w:val="00250379"/>
    <w:rsid w:val="00251EBB"/>
    <w:rsid w:val="002522CF"/>
    <w:rsid w:val="00252CF4"/>
    <w:rsid w:val="00253C2F"/>
    <w:rsid w:val="002549B0"/>
    <w:rsid w:val="0025508C"/>
    <w:rsid w:val="00255204"/>
    <w:rsid w:val="00255697"/>
    <w:rsid w:val="002624B9"/>
    <w:rsid w:val="002628DE"/>
    <w:rsid w:val="00262A30"/>
    <w:rsid w:val="0026400E"/>
    <w:rsid w:val="00264F38"/>
    <w:rsid w:val="00266360"/>
    <w:rsid w:val="00266F44"/>
    <w:rsid w:val="00267EAD"/>
    <w:rsid w:val="00267FB2"/>
    <w:rsid w:val="002704D4"/>
    <w:rsid w:val="0027088B"/>
    <w:rsid w:val="00270A9A"/>
    <w:rsid w:val="00271CCC"/>
    <w:rsid w:val="002748F5"/>
    <w:rsid w:val="0027521B"/>
    <w:rsid w:val="002752A9"/>
    <w:rsid w:val="00275B12"/>
    <w:rsid w:val="002766B2"/>
    <w:rsid w:val="00276796"/>
    <w:rsid w:val="00277F1E"/>
    <w:rsid w:val="00280367"/>
    <w:rsid w:val="00280618"/>
    <w:rsid w:val="002811AE"/>
    <w:rsid w:val="00285B00"/>
    <w:rsid w:val="0028652D"/>
    <w:rsid w:val="00286E94"/>
    <w:rsid w:val="00290620"/>
    <w:rsid w:val="002918A0"/>
    <w:rsid w:val="002934D5"/>
    <w:rsid w:val="00294C1D"/>
    <w:rsid w:val="00294F1F"/>
    <w:rsid w:val="00295216"/>
    <w:rsid w:val="002954A7"/>
    <w:rsid w:val="00295AA0"/>
    <w:rsid w:val="002964F8"/>
    <w:rsid w:val="00296C02"/>
    <w:rsid w:val="00296D01"/>
    <w:rsid w:val="002973AD"/>
    <w:rsid w:val="002A0365"/>
    <w:rsid w:val="002A157C"/>
    <w:rsid w:val="002A1799"/>
    <w:rsid w:val="002A1FC2"/>
    <w:rsid w:val="002A2022"/>
    <w:rsid w:val="002A24B3"/>
    <w:rsid w:val="002A2871"/>
    <w:rsid w:val="002A28E6"/>
    <w:rsid w:val="002A3E99"/>
    <w:rsid w:val="002A4598"/>
    <w:rsid w:val="002A5228"/>
    <w:rsid w:val="002A5603"/>
    <w:rsid w:val="002A560C"/>
    <w:rsid w:val="002A59DA"/>
    <w:rsid w:val="002A5FDF"/>
    <w:rsid w:val="002A6736"/>
    <w:rsid w:val="002A7432"/>
    <w:rsid w:val="002A7EA8"/>
    <w:rsid w:val="002B032F"/>
    <w:rsid w:val="002B14B8"/>
    <w:rsid w:val="002B1CE5"/>
    <w:rsid w:val="002B24CE"/>
    <w:rsid w:val="002B2718"/>
    <w:rsid w:val="002B2A81"/>
    <w:rsid w:val="002B3B73"/>
    <w:rsid w:val="002B4BF6"/>
    <w:rsid w:val="002B4DBF"/>
    <w:rsid w:val="002B57F6"/>
    <w:rsid w:val="002C00E4"/>
    <w:rsid w:val="002C01CE"/>
    <w:rsid w:val="002C3D5B"/>
    <w:rsid w:val="002C4DC9"/>
    <w:rsid w:val="002C54AF"/>
    <w:rsid w:val="002C58A2"/>
    <w:rsid w:val="002C5F0B"/>
    <w:rsid w:val="002C64DA"/>
    <w:rsid w:val="002D0372"/>
    <w:rsid w:val="002D0CAB"/>
    <w:rsid w:val="002D1A22"/>
    <w:rsid w:val="002D2A1B"/>
    <w:rsid w:val="002D322B"/>
    <w:rsid w:val="002D3A08"/>
    <w:rsid w:val="002D47C5"/>
    <w:rsid w:val="002D6AE2"/>
    <w:rsid w:val="002D7945"/>
    <w:rsid w:val="002D7A5D"/>
    <w:rsid w:val="002E0B37"/>
    <w:rsid w:val="002E1684"/>
    <w:rsid w:val="002E16AB"/>
    <w:rsid w:val="002E189E"/>
    <w:rsid w:val="002E2A8C"/>
    <w:rsid w:val="002E3F3F"/>
    <w:rsid w:val="002E470A"/>
    <w:rsid w:val="002E4F8E"/>
    <w:rsid w:val="002E537D"/>
    <w:rsid w:val="002E5CE0"/>
    <w:rsid w:val="002E70DB"/>
    <w:rsid w:val="002F3569"/>
    <w:rsid w:val="002F3CEC"/>
    <w:rsid w:val="002F403D"/>
    <w:rsid w:val="002F5EFD"/>
    <w:rsid w:val="002F5F91"/>
    <w:rsid w:val="002F664C"/>
    <w:rsid w:val="002F6B92"/>
    <w:rsid w:val="002F6F02"/>
    <w:rsid w:val="003000B2"/>
    <w:rsid w:val="00301553"/>
    <w:rsid w:val="0030235A"/>
    <w:rsid w:val="003024C9"/>
    <w:rsid w:val="0030366B"/>
    <w:rsid w:val="003037F3"/>
    <w:rsid w:val="00305598"/>
    <w:rsid w:val="00306BB5"/>
    <w:rsid w:val="00310DC3"/>
    <w:rsid w:val="00312018"/>
    <w:rsid w:val="003128FE"/>
    <w:rsid w:val="00312961"/>
    <w:rsid w:val="00312ABB"/>
    <w:rsid w:val="003130C8"/>
    <w:rsid w:val="00313FDF"/>
    <w:rsid w:val="00315222"/>
    <w:rsid w:val="00315436"/>
    <w:rsid w:val="003156F2"/>
    <w:rsid w:val="003164E8"/>
    <w:rsid w:val="0031773D"/>
    <w:rsid w:val="0032132C"/>
    <w:rsid w:val="00321683"/>
    <w:rsid w:val="0032180B"/>
    <w:rsid w:val="00321CA9"/>
    <w:rsid w:val="003236A1"/>
    <w:rsid w:val="00323886"/>
    <w:rsid w:val="00323DF2"/>
    <w:rsid w:val="00324221"/>
    <w:rsid w:val="00324879"/>
    <w:rsid w:val="00325452"/>
    <w:rsid w:val="0032618D"/>
    <w:rsid w:val="0032652F"/>
    <w:rsid w:val="00326D5F"/>
    <w:rsid w:val="00327044"/>
    <w:rsid w:val="003274A2"/>
    <w:rsid w:val="00330B78"/>
    <w:rsid w:val="00331048"/>
    <w:rsid w:val="003314D0"/>
    <w:rsid w:val="00331DA0"/>
    <w:rsid w:val="0033601E"/>
    <w:rsid w:val="003369E9"/>
    <w:rsid w:val="00336BDA"/>
    <w:rsid w:val="00337FDE"/>
    <w:rsid w:val="00340B8C"/>
    <w:rsid w:val="00340EA7"/>
    <w:rsid w:val="00343A22"/>
    <w:rsid w:val="00344367"/>
    <w:rsid w:val="00344AD2"/>
    <w:rsid w:val="00345215"/>
    <w:rsid w:val="00345787"/>
    <w:rsid w:val="00345F7E"/>
    <w:rsid w:val="00350A68"/>
    <w:rsid w:val="00350B7D"/>
    <w:rsid w:val="00351420"/>
    <w:rsid w:val="003523FD"/>
    <w:rsid w:val="00352F2A"/>
    <w:rsid w:val="00353037"/>
    <w:rsid w:val="00354421"/>
    <w:rsid w:val="00356595"/>
    <w:rsid w:val="00356D38"/>
    <w:rsid w:val="0035703A"/>
    <w:rsid w:val="00357A7E"/>
    <w:rsid w:val="00360D60"/>
    <w:rsid w:val="00361935"/>
    <w:rsid w:val="003633CF"/>
    <w:rsid w:val="003636D0"/>
    <w:rsid w:val="00364A6C"/>
    <w:rsid w:val="00364FF5"/>
    <w:rsid w:val="00365C79"/>
    <w:rsid w:val="00366215"/>
    <w:rsid w:val="003662AB"/>
    <w:rsid w:val="0036649B"/>
    <w:rsid w:val="00366852"/>
    <w:rsid w:val="00367938"/>
    <w:rsid w:val="0037079F"/>
    <w:rsid w:val="00370ACD"/>
    <w:rsid w:val="00370CA3"/>
    <w:rsid w:val="00372205"/>
    <w:rsid w:val="0037308F"/>
    <w:rsid w:val="00373ABB"/>
    <w:rsid w:val="00373E92"/>
    <w:rsid w:val="00375973"/>
    <w:rsid w:val="003765C1"/>
    <w:rsid w:val="00376EE0"/>
    <w:rsid w:val="00377B9E"/>
    <w:rsid w:val="00380111"/>
    <w:rsid w:val="00380737"/>
    <w:rsid w:val="003811C7"/>
    <w:rsid w:val="0038164D"/>
    <w:rsid w:val="00382253"/>
    <w:rsid w:val="0038275A"/>
    <w:rsid w:val="00382893"/>
    <w:rsid w:val="003832F2"/>
    <w:rsid w:val="00383F69"/>
    <w:rsid w:val="00384749"/>
    <w:rsid w:val="0038669D"/>
    <w:rsid w:val="00387A66"/>
    <w:rsid w:val="00390A85"/>
    <w:rsid w:val="00390DE4"/>
    <w:rsid w:val="00391071"/>
    <w:rsid w:val="003911EE"/>
    <w:rsid w:val="00392E34"/>
    <w:rsid w:val="00394575"/>
    <w:rsid w:val="003946C4"/>
    <w:rsid w:val="00394C59"/>
    <w:rsid w:val="00395E09"/>
    <w:rsid w:val="0039608F"/>
    <w:rsid w:val="0039692F"/>
    <w:rsid w:val="00397038"/>
    <w:rsid w:val="003A00CA"/>
    <w:rsid w:val="003A11A5"/>
    <w:rsid w:val="003A14DE"/>
    <w:rsid w:val="003A1F20"/>
    <w:rsid w:val="003A260E"/>
    <w:rsid w:val="003A2884"/>
    <w:rsid w:val="003A387D"/>
    <w:rsid w:val="003A50DB"/>
    <w:rsid w:val="003A61A1"/>
    <w:rsid w:val="003A7B3C"/>
    <w:rsid w:val="003B012B"/>
    <w:rsid w:val="003B18D1"/>
    <w:rsid w:val="003B1946"/>
    <w:rsid w:val="003B3054"/>
    <w:rsid w:val="003B495F"/>
    <w:rsid w:val="003B4CC0"/>
    <w:rsid w:val="003B667D"/>
    <w:rsid w:val="003B6C6F"/>
    <w:rsid w:val="003B78DE"/>
    <w:rsid w:val="003C0C0A"/>
    <w:rsid w:val="003C245E"/>
    <w:rsid w:val="003C2EED"/>
    <w:rsid w:val="003C3441"/>
    <w:rsid w:val="003C443D"/>
    <w:rsid w:val="003C50E9"/>
    <w:rsid w:val="003C5D67"/>
    <w:rsid w:val="003C5EDD"/>
    <w:rsid w:val="003C66B3"/>
    <w:rsid w:val="003C6E2F"/>
    <w:rsid w:val="003C712A"/>
    <w:rsid w:val="003C7D64"/>
    <w:rsid w:val="003D0366"/>
    <w:rsid w:val="003D0965"/>
    <w:rsid w:val="003D09D2"/>
    <w:rsid w:val="003D0B4D"/>
    <w:rsid w:val="003D0CF2"/>
    <w:rsid w:val="003D0E89"/>
    <w:rsid w:val="003D10E1"/>
    <w:rsid w:val="003D16BD"/>
    <w:rsid w:val="003D172F"/>
    <w:rsid w:val="003D1830"/>
    <w:rsid w:val="003D18BD"/>
    <w:rsid w:val="003D1B61"/>
    <w:rsid w:val="003D2342"/>
    <w:rsid w:val="003D3585"/>
    <w:rsid w:val="003D5000"/>
    <w:rsid w:val="003D5350"/>
    <w:rsid w:val="003D74BA"/>
    <w:rsid w:val="003D7C54"/>
    <w:rsid w:val="003D7D23"/>
    <w:rsid w:val="003E01C0"/>
    <w:rsid w:val="003E045D"/>
    <w:rsid w:val="003E170C"/>
    <w:rsid w:val="003E1800"/>
    <w:rsid w:val="003E3F75"/>
    <w:rsid w:val="003E4407"/>
    <w:rsid w:val="003E58CE"/>
    <w:rsid w:val="003E72D6"/>
    <w:rsid w:val="003E7350"/>
    <w:rsid w:val="003E7805"/>
    <w:rsid w:val="003F1C9E"/>
    <w:rsid w:val="003F3985"/>
    <w:rsid w:val="003F4045"/>
    <w:rsid w:val="003F55AB"/>
    <w:rsid w:val="003F7AC2"/>
    <w:rsid w:val="004004F7"/>
    <w:rsid w:val="00401395"/>
    <w:rsid w:val="004023BC"/>
    <w:rsid w:val="004033E9"/>
    <w:rsid w:val="004038AE"/>
    <w:rsid w:val="004065F7"/>
    <w:rsid w:val="00406E7E"/>
    <w:rsid w:val="00407D33"/>
    <w:rsid w:val="004104D9"/>
    <w:rsid w:val="00410A3C"/>
    <w:rsid w:val="00410D76"/>
    <w:rsid w:val="004124BD"/>
    <w:rsid w:val="00412B54"/>
    <w:rsid w:val="00412EAE"/>
    <w:rsid w:val="00415136"/>
    <w:rsid w:val="004153EC"/>
    <w:rsid w:val="00415A76"/>
    <w:rsid w:val="00415FFF"/>
    <w:rsid w:val="00416028"/>
    <w:rsid w:val="0041787F"/>
    <w:rsid w:val="00417B5C"/>
    <w:rsid w:val="00421477"/>
    <w:rsid w:val="00423C51"/>
    <w:rsid w:val="00424125"/>
    <w:rsid w:val="00424A4B"/>
    <w:rsid w:val="004250D3"/>
    <w:rsid w:val="00425ED5"/>
    <w:rsid w:val="00426632"/>
    <w:rsid w:val="004306DF"/>
    <w:rsid w:val="00430C89"/>
    <w:rsid w:val="00431661"/>
    <w:rsid w:val="00431F55"/>
    <w:rsid w:val="00432005"/>
    <w:rsid w:val="0043230E"/>
    <w:rsid w:val="00433669"/>
    <w:rsid w:val="004347A1"/>
    <w:rsid w:val="0043549B"/>
    <w:rsid w:val="00436525"/>
    <w:rsid w:val="00436631"/>
    <w:rsid w:val="0043682A"/>
    <w:rsid w:val="00436908"/>
    <w:rsid w:val="00436BF4"/>
    <w:rsid w:val="00436C54"/>
    <w:rsid w:val="00440441"/>
    <w:rsid w:val="0044063C"/>
    <w:rsid w:val="00440FF6"/>
    <w:rsid w:val="00441E84"/>
    <w:rsid w:val="0044264F"/>
    <w:rsid w:val="004428A3"/>
    <w:rsid w:val="004428C1"/>
    <w:rsid w:val="00442D45"/>
    <w:rsid w:val="00442DEA"/>
    <w:rsid w:val="00443C1F"/>
    <w:rsid w:val="00447ED3"/>
    <w:rsid w:val="00450B91"/>
    <w:rsid w:val="0045209B"/>
    <w:rsid w:val="0045210E"/>
    <w:rsid w:val="0045336B"/>
    <w:rsid w:val="00453ED7"/>
    <w:rsid w:val="00454C64"/>
    <w:rsid w:val="00455A91"/>
    <w:rsid w:val="00455CDA"/>
    <w:rsid w:val="00455E41"/>
    <w:rsid w:val="00456041"/>
    <w:rsid w:val="0045635C"/>
    <w:rsid w:val="00456DEF"/>
    <w:rsid w:val="004635E3"/>
    <w:rsid w:val="00463A0B"/>
    <w:rsid w:val="00463B45"/>
    <w:rsid w:val="00463D90"/>
    <w:rsid w:val="004640A1"/>
    <w:rsid w:val="00464279"/>
    <w:rsid w:val="00465953"/>
    <w:rsid w:val="00470F74"/>
    <w:rsid w:val="00473949"/>
    <w:rsid w:val="00474DEB"/>
    <w:rsid w:val="00474E1F"/>
    <w:rsid w:val="00475936"/>
    <w:rsid w:val="00475A98"/>
    <w:rsid w:val="00476125"/>
    <w:rsid w:val="004778B8"/>
    <w:rsid w:val="004816AE"/>
    <w:rsid w:val="00481F16"/>
    <w:rsid w:val="004836D0"/>
    <w:rsid w:val="0048389E"/>
    <w:rsid w:val="00485275"/>
    <w:rsid w:val="004857D1"/>
    <w:rsid w:val="00485997"/>
    <w:rsid w:val="00490093"/>
    <w:rsid w:val="00490B5E"/>
    <w:rsid w:val="00490D92"/>
    <w:rsid w:val="00492089"/>
    <w:rsid w:val="00492466"/>
    <w:rsid w:val="00492578"/>
    <w:rsid w:val="00494030"/>
    <w:rsid w:val="00496106"/>
    <w:rsid w:val="0049784F"/>
    <w:rsid w:val="00497B29"/>
    <w:rsid w:val="004A095A"/>
    <w:rsid w:val="004A0968"/>
    <w:rsid w:val="004A0FBC"/>
    <w:rsid w:val="004A1446"/>
    <w:rsid w:val="004A1545"/>
    <w:rsid w:val="004A16AE"/>
    <w:rsid w:val="004A3530"/>
    <w:rsid w:val="004A39B6"/>
    <w:rsid w:val="004A5702"/>
    <w:rsid w:val="004A5D6F"/>
    <w:rsid w:val="004A675F"/>
    <w:rsid w:val="004B1024"/>
    <w:rsid w:val="004B1443"/>
    <w:rsid w:val="004B42F2"/>
    <w:rsid w:val="004B47D1"/>
    <w:rsid w:val="004B5F8C"/>
    <w:rsid w:val="004B6993"/>
    <w:rsid w:val="004B7264"/>
    <w:rsid w:val="004B7B56"/>
    <w:rsid w:val="004B7FD7"/>
    <w:rsid w:val="004C0185"/>
    <w:rsid w:val="004C0FCF"/>
    <w:rsid w:val="004C1111"/>
    <w:rsid w:val="004C2BA4"/>
    <w:rsid w:val="004C2CA1"/>
    <w:rsid w:val="004C378A"/>
    <w:rsid w:val="004C3B9C"/>
    <w:rsid w:val="004C471E"/>
    <w:rsid w:val="004C57FB"/>
    <w:rsid w:val="004C7771"/>
    <w:rsid w:val="004D04A8"/>
    <w:rsid w:val="004D201F"/>
    <w:rsid w:val="004D22E4"/>
    <w:rsid w:val="004D2426"/>
    <w:rsid w:val="004D376E"/>
    <w:rsid w:val="004D38BE"/>
    <w:rsid w:val="004D3B71"/>
    <w:rsid w:val="004D4557"/>
    <w:rsid w:val="004D50A7"/>
    <w:rsid w:val="004D5592"/>
    <w:rsid w:val="004D629D"/>
    <w:rsid w:val="004D787A"/>
    <w:rsid w:val="004E3DB2"/>
    <w:rsid w:val="004E3E4A"/>
    <w:rsid w:val="004E3E72"/>
    <w:rsid w:val="004E3F0D"/>
    <w:rsid w:val="004E4B71"/>
    <w:rsid w:val="004E4BEF"/>
    <w:rsid w:val="004E56E8"/>
    <w:rsid w:val="004E7FAE"/>
    <w:rsid w:val="004F0380"/>
    <w:rsid w:val="004F0DBB"/>
    <w:rsid w:val="004F1D1D"/>
    <w:rsid w:val="004F1DAF"/>
    <w:rsid w:val="004F235A"/>
    <w:rsid w:val="004F292A"/>
    <w:rsid w:val="004F2CE6"/>
    <w:rsid w:val="004F4146"/>
    <w:rsid w:val="004F490B"/>
    <w:rsid w:val="004F4991"/>
    <w:rsid w:val="004F5A1B"/>
    <w:rsid w:val="00500215"/>
    <w:rsid w:val="00501B16"/>
    <w:rsid w:val="00502668"/>
    <w:rsid w:val="00504A30"/>
    <w:rsid w:val="00504F5F"/>
    <w:rsid w:val="00505AA3"/>
    <w:rsid w:val="00507160"/>
    <w:rsid w:val="00507703"/>
    <w:rsid w:val="00510F1E"/>
    <w:rsid w:val="00512C27"/>
    <w:rsid w:val="00512EAD"/>
    <w:rsid w:val="00513894"/>
    <w:rsid w:val="00514797"/>
    <w:rsid w:val="00514820"/>
    <w:rsid w:val="00514C5F"/>
    <w:rsid w:val="00515108"/>
    <w:rsid w:val="00515EBC"/>
    <w:rsid w:val="00516527"/>
    <w:rsid w:val="00517632"/>
    <w:rsid w:val="00520AFE"/>
    <w:rsid w:val="00520D11"/>
    <w:rsid w:val="00521D87"/>
    <w:rsid w:val="005233DE"/>
    <w:rsid w:val="005234C9"/>
    <w:rsid w:val="0052357A"/>
    <w:rsid w:val="00523A83"/>
    <w:rsid w:val="00523EE1"/>
    <w:rsid w:val="005250CA"/>
    <w:rsid w:val="005256C4"/>
    <w:rsid w:val="00527845"/>
    <w:rsid w:val="00530894"/>
    <w:rsid w:val="00531636"/>
    <w:rsid w:val="005319D4"/>
    <w:rsid w:val="00532172"/>
    <w:rsid w:val="0053280D"/>
    <w:rsid w:val="0053286E"/>
    <w:rsid w:val="00532E8C"/>
    <w:rsid w:val="00533398"/>
    <w:rsid w:val="00534175"/>
    <w:rsid w:val="0053447F"/>
    <w:rsid w:val="0053455C"/>
    <w:rsid w:val="00534D81"/>
    <w:rsid w:val="005358A6"/>
    <w:rsid w:val="00536822"/>
    <w:rsid w:val="00537D0E"/>
    <w:rsid w:val="00540221"/>
    <w:rsid w:val="005407D8"/>
    <w:rsid w:val="00542A73"/>
    <w:rsid w:val="0054429D"/>
    <w:rsid w:val="00545B24"/>
    <w:rsid w:val="00546950"/>
    <w:rsid w:val="00547043"/>
    <w:rsid w:val="005473E2"/>
    <w:rsid w:val="005508ED"/>
    <w:rsid w:val="005520D9"/>
    <w:rsid w:val="00552C72"/>
    <w:rsid w:val="00553000"/>
    <w:rsid w:val="0055458F"/>
    <w:rsid w:val="00554D8B"/>
    <w:rsid w:val="0055586B"/>
    <w:rsid w:val="00556772"/>
    <w:rsid w:val="005578B4"/>
    <w:rsid w:val="00557D8E"/>
    <w:rsid w:val="00557FBF"/>
    <w:rsid w:val="0056114B"/>
    <w:rsid w:val="0056152A"/>
    <w:rsid w:val="005626BC"/>
    <w:rsid w:val="00562A4D"/>
    <w:rsid w:val="00562D09"/>
    <w:rsid w:val="005630D5"/>
    <w:rsid w:val="005634C2"/>
    <w:rsid w:val="00564561"/>
    <w:rsid w:val="005667D6"/>
    <w:rsid w:val="005667EB"/>
    <w:rsid w:val="0056793A"/>
    <w:rsid w:val="00570B83"/>
    <w:rsid w:val="00570C66"/>
    <w:rsid w:val="00571BFF"/>
    <w:rsid w:val="00572069"/>
    <w:rsid w:val="0057300E"/>
    <w:rsid w:val="005742E2"/>
    <w:rsid w:val="00574542"/>
    <w:rsid w:val="0057460C"/>
    <w:rsid w:val="00575101"/>
    <w:rsid w:val="00575177"/>
    <w:rsid w:val="00575B91"/>
    <w:rsid w:val="0057655C"/>
    <w:rsid w:val="00576E3D"/>
    <w:rsid w:val="005770F9"/>
    <w:rsid w:val="005772FB"/>
    <w:rsid w:val="00577DB8"/>
    <w:rsid w:val="005803AB"/>
    <w:rsid w:val="005815EC"/>
    <w:rsid w:val="00581A5C"/>
    <w:rsid w:val="00581A76"/>
    <w:rsid w:val="00581B14"/>
    <w:rsid w:val="005830BE"/>
    <w:rsid w:val="00583D1A"/>
    <w:rsid w:val="005840A1"/>
    <w:rsid w:val="00585336"/>
    <w:rsid w:val="005860DD"/>
    <w:rsid w:val="00586628"/>
    <w:rsid w:val="0058674F"/>
    <w:rsid w:val="00587B9D"/>
    <w:rsid w:val="00590A19"/>
    <w:rsid w:val="0059106B"/>
    <w:rsid w:val="00591533"/>
    <w:rsid w:val="005926D2"/>
    <w:rsid w:val="00592DC2"/>
    <w:rsid w:val="00594DD6"/>
    <w:rsid w:val="00595095"/>
    <w:rsid w:val="00595D60"/>
    <w:rsid w:val="005A0E21"/>
    <w:rsid w:val="005A1036"/>
    <w:rsid w:val="005A1709"/>
    <w:rsid w:val="005A1DE2"/>
    <w:rsid w:val="005A2795"/>
    <w:rsid w:val="005A2DDF"/>
    <w:rsid w:val="005A3188"/>
    <w:rsid w:val="005A4AE9"/>
    <w:rsid w:val="005A5DC8"/>
    <w:rsid w:val="005A73F8"/>
    <w:rsid w:val="005B13C0"/>
    <w:rsid w:val="005B1A9C"/>
    <w:rsid w:val="005B33FC"/>
    <w:rsid w:val="005B37E0"/>
    <w:rsid w:val="005B3B49"/>
    <w:rsid w:val="005B4A48"/>
    <w:rsid w:val="005B4D99"/>
    <w:rsid w:val="005B4F8D"/>
    <w:rsid w:val="005B5236"/>
    <w:rsid w:val="005B647C"/>
    <w:rsid w:val="005B6697"/>
    <w:rsid w:val="005B6CB3"/>
    <w:rsid w:val="005B783F"/>
    <w:rsid w:val="005C03A6"/>
    <w:rsid w:val="005C0746"/>
    <w:rsid w:val="005C0B1C"/>
    <w:rsid w:val="005C160B"/>
    <w:rsid w:val="005C1731"/>
    <w:rsid w:val="005C1818"/>
    <w:rsid w:val="005C204F"/>
    <w:rsid w:val="005C24F2"/>
    <w:rsid w:val="005C3A79"/>
    <w:rsid w:val="005C3E9C"/>
    <w:rsid w:val="005C43B1"/>
    <w:rsid w:val="005C498A"/>
    <w:rsid w:val="005C5312"/>
    <w:rsid w:val="005C5C9E"/>
    <w:rsid w:val="005C5FB8"/>
    <w:rsid w:val="005C610E"/>
    <w:rsid w:val="005C6BF7"/>
    <w:rsid w:val="005D0002"/>
    <w:rsid w:val="005D04FD"/>
    <w:rsid w:val="005D09CF"/>
    <w:rsid w:val="005D0E22"/>
    <w:rsid w:val="005D1ED1"/>
    <w:rsid w:val="005D423E"/>
    <w:rsid w:val="005D5061"/>
    <w:rsid w:val="005D6C1B"/>
    <w:rsid w:val="005D6D0D"/>
    <w:rsid w:val="005D7D74"/>
    <w:rsid w:val="005E1BC2"/>
    <w:rsid w:val="005E3ABC"/>
    <w:rsid w:val="005E459B"/>
    <w:rsid w:val="005E49D7"/>
    <w:rsid w:val="005E4A18"/>
    <w:rsid w:val="005E4C6F"/>
    <w:rsid w:val="005E51A3"/>
    <w:rsid w:val="005E6847"/>
    <w:rsid w:val="005E75C0"/>
    <w:rsid w:val="005E7925"/>
    <w:rsid w:val="005E7D4B"/>
    <w:rsid w:val="005F01D0"/>
    <w:rsid w:val="005F117E"/>
    <w:rsid w:val="005F28D7"/>
    <w:rsid w:val="005F336C"/>
    <w:rsid w:val="005F34EF"/>
    <w:rsid w:val="005F40DA"/>
    <w:rsid w:val="005F45BE"/>
    <w:rsid w:val="005F5A9C"/>
    <w:rsid w:val="005F5BC0"/>
    <w:rsid w:val="005F5D04"/>
    <w:rsid w:val="005F6A13"/>
    <w:rsid w:val="005F6D7D"/>
    <w:rsid w:val="005F75F3"/>
    <w:rsid w:val="00600277"/>
    <w:rsid w:val="00600570"/>
    <w:rsid w:val="00600B45"/>
    <w:rsid w:val="00600DDF"/>
    <w:rsid w:val="006024D2"/>
    <w:rsid w:val="006045A5"/>
    <w:rsid w:val="00604714"/>
    <w:rsid w:val="00604BB9"/>
    <w:rsid w:val="00604D46"/>
    <w:rsid w:val="00606038"/>
    <w:rsid w:val="00606345"/>
    <w:rsid w:val="006066DE"/>
    <w:rsid w:val="0060678E"/>
    <w:rsid w:val="006074A4"/>
    <w:rsid w:val="00610AD7"/>
    <w:rsid w:val="00611C52"/>
    <w:rsid w:val="006134BE"/>
    <w:rsid w:val="00613D66"/>
    <w:rsid w:val="0061521A"/>
    <w:rsid w:val="006157B9"/>
    <w:rsid w:val="00615D8C"/>
    <w:rsid w:val="0061660B"/>
    <w:rsid w:val="00616D4E"/>
    <w:rsid w:val="00617395"/>
    <w:rsid w:val="00617518"/>
    <w:rsid w:val="00617C64"/>
    <w:rsid w:val="00620CAF"/>
    <w:rsid w:val="006212C9"/>
    <w:rsid w:val="0062178A"/>
    <w:rsid w:val="006218DB"/>
    <w:rsid w:val="00621D38"/>
    <w:rsid w:val="00621DE5"/>
    <w:rsid w:val="006229D2"/>
    <w:rsid w:val="00624AA0"/>
    <w:rsid w:val="00624F73"/>
    <w:rsid w:val="006263B7"/>
    <w:rsid w:val="006279DB"/>
    <w:rsid w:val="00627B50"/>
    <w:rsid w:val="00627B9D"/>
    <w:rsid w:val="0063067E"/>
    <w:rsid w:val="0063117A"/>
    <w:rsid w:val="00631298"/>
    <w:rsid w:val="0063152E"/>
    <w:rsid w:val="006316D5"/>
    <w:rsid w:val="00631C1E"/>
    <w:rsid w:val="0063224C"/>
    <w:rsid w:val="00632C8A"/>
    <w:rsid w:val="00635566"/>
    <w:rsid w:val="006357A2"/>
    <w:rsid w:val="006364C9"/>
    <w:rsid w:val="006371F6"/>
    <w:rsid w:val="00637334"/>
    <w:rsid w:val="006375C4"/>
    <w:rsid w:val="0064058C"/>
    <w:rsid w:val="00640DC1"/>
    <w:rsid w:val="006418DC"/>
    <w:rsid w:val="00644562"/>
    <w:rsid w:val="00645C50"/>
    <w:rsid w:val="006472A5"/>
    <w:rsid w:val="00647373"/>
    <w:rsid w:val="00647B80"/>
    <w:rsid w:val="00651EE6"/>
    <w:rsid w:val="00652C6A"/>
    <w:rsid w:val="00652C7D"/>
    <w:rsid w:val="00652EEA"/>
    <w:rsid w:val="006536F8"/>
    <w:rsid w:val="00653B83"/>
    <w:rsid w:val="00653C42"/>
    <w:rsid w:val="00656E21"/>
    <w:rsid w:val="00656E3B"/>
    <w:rsid w:val="00657076"/>
    <w:rsid w:val="00657727"/>
    <w:rsid w:val="00662B3A"/>
    <w:rsid w:val="00662D39"/>
    <w:rsid w:val="00662DEC"/>
    <w:rsid w:val="0066322F"/>
    <w:rsid w:val="00663649"/>
    <w:rsid w:val="00663793"/>
    <w:rsid w:val="00663D86"/>
    <w:rsid w:val="0066488A"/>
    <w:rsid w:val="0066523F"/>
    <w:rsid w:val="0066599F"/>
    <w:rsid w:val="00665CBD"/>
    <w:rsid w:val="00665F30"/>
    <w:rsid w:val="00666172"/>
    <w:rsid w:val="0066727E"/>
    <w:rsid w:val="00670ED8"/>
    <w:rsid w:val="00671621"/>
    <w:rsid w:val="00672F13"/>
    <w:rsid w:val="006730B6"/>
    <w:rsid w:val="00673406"/>
    <w:rsid w:val="00673520"/>
    <w:rsid w:val="00675119"/>
    <w:rsid w:val="00676432"/>
    <w:rsid w:val="006774DF"/>
    <w:rsid w:val="00680EED"/>
    <w:rsid w:val="00682DE2"/>
    <w:rsid w:val="00682EF8"/>
    <w:rsid w:val="00683CED"/>
    <w:rsid w:val="0068447A"/>
    <w:rsid w:val="00685743"/>
    <w:rsid w:val="0068610B"/>
    <w:rsid w:val="00686353"/>
    <w:rsid w:val="0068636C"/>
    <w:rsid w:val="00687835"/>
    <w:rsid w:val="0069027A"/>
    <w:rsid w:val="00690A2B"/>
    <w:rsid w:val="00690E8E"/>
    <w:rsid w:val="006910BF"/>
    <w:rsid w:val="00691A4E"/>
    <w:rsid w:val="00692ECE"/>
    <w:rsid w:val="0069412F"/>
    <w:rsid w:val="006944F3"/>
    <w:rsid w:val="00694ED2"/>
    <w:rsid w:val="0069611F"/>
    <w:rsid w:val="00696EBB"/>
    <w:rsid w:val="00697488"/>
    <w:rsid w:val="006975B6"/>
    <w:rsid w:val="006A00E9"/>
    <w:rsid w:val="006A0CC6"/>
    <w:rsid w:val="006A1C42"/>
    <w:rsid w:val="006A47B4"/>
    <w:rsid w:val="006A52C3"/>
    <w:rsid w:val="006A609B"/>
    <w:rsid w:val="006A64A8"/>
    <w:rsid w:val="006A737C"/>
    <w:rsid w:val="006A774E"/>
    <w:rsid w:val="006B24C4"/>
    <w:rsid w:val="006B3C6B"/>
    <w:rsid w:val="006B3C8D"/>
    <w:rsid w:val="006B4668"/>
    <w:rsid w:val="006B5E0B"/>
    <w:rsid w:val="006C21A1"/>
    <w:rsid w:val="006C21EA"/>
    <w:rsid w:val="006C29A2"/>
    <w:rsid w:val="006C2E0B"/>
    <w:rsid w:val="006C3C9F"/>
    <w:rsid w:val="006C4B65"/>
    <w:rsid w:val="006C7790"/>
    <w:rsid w:val="006D0DA3"/>
    <w:rsid w:val="006D232A"/>
    <w:rsid w:val="006D2559"/>
    <w:rsid w:val="006D3393"/>
    <w:rsid w:val="006D4130"/>
    <w:rsid w:val="006D4CAE"/>
    <w:rsid w:val="006D5085"/>
    <w:rsid w:val="006D5B9C"/>
    <w:rsid w:val="006D5D7E"/>
    <w:rsid w:val="006D65D3"/>
    <w:rsid w:val="006D739F"/>
    <w:rsid w:val="006E195C"/>
    <w:rsid w:val="006E1AC2"/>
    <w:rsid w:val="006E1F1A"/>
    <w:rsid w:val="006E1F48"/>
    <w:rsid w:val="006E282A"/>
    <w:rsid w:val="006E2C9B"/>
    <w:rsid w:val="006E44B5"/>
    <w:rsid w:val="006E4FEA"/>
    <w:rsid w:val="006E5DF6"/>
    <w:rsid w:val="006E614B"/>
    <w:rsid w:val="006E6408"/>
    <w:rsid w:val="006E6F33"/>
    <w:rsid w:val="006E7258"/>
    <w:rsid w:val="006E7EA7"/>
    <w:rsid w:val="006F0C67"/>
    <w:rsid w:val="006F1B2B"/>
    <w:rsid w:val="006F1BB2"/>
    <w:rsid w:val="006F20BA"/>
    <w:rsid w:val="006F5F92"/>
    <w:rsid w:val="006F6192"/>
    <w:rsid w:val="00700104"/>
    <w:rsid w:val="00700B3B"/>
    <w:rsid w:val="007014B4"/>
    <w:rsid w:val="0070164E"/>
    <w:rsid w:val="00704866"/>
    <w:rsid w:val="0070626B"/>
    <w:rsid w:val="0070643E"/>
    <w:rsid w:val="00706F23"/>
    <w:rsid w:val="007102D5"/>
    <w:rsid w:val="007106BE"/>
    <w:rsid w:val="00711922"/>
    <w:rsid w:val="00712611"/>
    <w:rsid w:val="00713022"/>
    <w:rsid w:val="00713148"/>
    <w:rsid w:val="007144CC"/>
    <w:rsid w:val="007147A8"/>
    <w:rsid w:val="00714CF1"/>
    <w:rsid w:val="00715E1A"/>
    <w:rsid w:val="00716F8F"/>
    <w:rsid w:val="0071702B"/>
    <w:rsid w:val="00720FDC"/>
    <w:rsid w:val="00722928"/>
    <w:rsid w:val="00723AE9"/>
    <w:rsid w:val="007276A4"/>
    <w:rsid w:val="00727E1B"/>
    <w:rsid w:val="00727F68"/>
    <w:rsid w:val="00730421"/>
    <w:rsid w:val="00730434"/>
    <w:rsid w:val="00730769"/>
    <w:rsid w:val="00730A57"/>
    <w:rsid w:val="00731173"/>
    <w:rsid w:val="00732158"/>
    <w:rsid w:val="007327AC"/>
    <w:rsid w:val="00734933"/>
    <w:rsid w:val="00734F63"/>
    <w:rsid w:val="00735014"/>
    <w:rsid w:val="00735F4C"/>
    <w:rsid w:val="00736814"/>
    <w:rsid w:val="00737197"/>
    <w:rsid w:val="00737B91"/>
    <w:rsid w:val="007400E0"/>
    <w:rsid w:val="00740E21"/>
    <w:rsid w:val="0074178D"/>
    <w:rsid w:val="00741A5F"/>
    <w:rsid w:val="00741CA8"/>
    <w:rsid w:val="00744178"/>
    <w:rsid w:val="007441BC"/>
    <w:rsid w:val="007442CD"/>
    <w:rsid w:val="0074542B"/>
    <w:rsid w:val="00745E9F"/>
    <w:rsid w:val="00746256"/>
    <w:rsid w:val="00746AFD"/>
    <w:rsid w:val="0074714B"/>
    <w:rsid w:val="0075000C"/>
    <w:rsid w:val="00750962"/>
    <w:rsid w:val="00750DF2"/>
    <w:rsid w:val="00750E9E"/>
    <w:rsid w:val="00751049"/>
    <w:rsid w:val="00751106"/>
    <w:rsid w:val="0075126F"/>
    <w:rsid w:val="0075388F"/>
    <w:rsid w:val="00756761"/>
    <w:rsid w:val="00756A0A"/>
    <w:rsid w:val="00756FA7"/>
    <w:rsid w:val="00756FE9"/>
    <w:rsid w:val="00761277"/>
    <w:rsid w:val="00761510"/>
    <w:rsid w:val="00761820"/>
    <w:rsid w:val="00761BDC"/>
    <w:rsid w:val="00762198"/>
    <w:rsid w:val="007632AF"/>
    <w:rsid w:val="0076351D"/>
    <w:rsid w:val="007652E8"/>
    <w:rsid w:val="0076577D"/>
    <w:rsid w:val="00765A00"/>
    <w:rsid w:val="00765C82"/>
    <w:rsid w:val="007665ED"/>
    <w:rsid w:val="00767F4D"/>
    <w:rsid w:val="007704D7"/>
    <w:rsid w:val="0077114C"/>
    <w:rsid w:val="00771582"/>
    <w:rsid w:val="00771F91"/>
    <w:rsid w:val="00772173"/>
    <w:rsid w:val="00772E26"/>
    <w:rsid w:val="00773262"/>
    <w:rsid w:val="007737CA"/>
    <w:rsid w:val="00774A4F"/>
    <w:rsid w:val="007775F5"/>
    <w:rsid w:val="00780647"/>
    <w:rsid w:val="0078132C"/>
    <w:rsid w:val="007824AB"/>
    <w:rsid w:val="00784D79"/>
    <w:rsid w:val="00784EF0"/>
    <w:rsid w:val="00784F57"/>
    <w:rsid w:val="0078540F"/>
    <w:rsid w:val="0078546C"/>
    <w:rsid w:val="00786BEA"/>
    <w:rsid w:val="0078796E"/>
    <w:rsid w:val="0079057B"/>
    <w:rsid w:val="00790CAA"/>
    <w:rsid w:val="007910CB"/>
    <w:rsid w:val="00792AA9"/>
    <w:rsid w:val="00792C7D"/>
    <w:rsid w:val="0079313F"/>
    <w:rsid w:val="00793F75"/>
    <w:rsid w:val="00794298"/>
    <w:rsid w:val="0079519B"/>
    <w:rsid w:val="007954FC"/>
    <w:rsid w:val="00796304"/>
    <w:rsid w:val="007A03F9"/>
    <w:rsid w:val="007A0799"/>
    <w:rsid w:val="007A24A3"/>
    <w:rsid w:val="007A2736"/>
    <w:rsid w:val="007A4AAA"/>
    <w:rsid w:val="007A63A6"/>
    <w:rsid w:val="007A686E"/>
    <w:rsid w:val="007A6E08"/>
    <w:rsid w:val="007A6E8A"/>
    <w:rsid w:val="007B3222"/>
    <w:rsid w:val="007B3455"/>
    <w:rsid w:val="007B3D1D"/>
    <w:rsid w:val="007B5FAE"/>
    <w:rsid w:val="007B64A4"/>
    <w:rsid w:val="007B70D4"/>
    <w:rsid w:val="007B79CD"/>
    <w:rsid w:val="007C0667"/>
    <w:rsid w:val="007C240E"/>
    <w:rsid w:val="007C3F89"/>
    <w:rsid w:val="007C4146"/>
    <w:rsid w:val="007C4A42"/>
    <w:rsid w:val="007C4BA4"/>
    <w:rsid w:val="007C538C"/>
    <w:rsid w:val="007C5813"/>
    <w:rsid w:val="007C72F1"/>
    <w:rsid w:val="007D05D6"/>
    <w:rsid w:val="007D1B44"/>
    <w:rsid w:val="007D4407"/>
    <w:rsid w:val="007D4564"/>
    <w:rsid w:val="007D4B49"/>
    <w:rsid w:val="007D4C7B"/>
    <w:rsid w:val="007D590C"/>
    <w:rsid w:val="007D5B17"/>
    <w:rsid w:val="007D5D6B"/>
    <w:rsid w:val="007D7D53"/>
    <w:rsid w:val="007E0A5D"/>
    <w:rsid w:val="007E1C6A"/>
    <w:rsid w:val="007E38EA"/>
    <w:rsid w:val="007E48BE"/>
    <w:rsid w:val="007E5F58"/>
    <w:rsid w:val="007E6984"/>
    <w:rsid w:val="007E6BA1"/>
    <w:rsid w:val="007E7351"/>
    <w:rsid w:val="007F2313"/>
    <w:rsid w:val="007F25D0"/>
    <w:rsid w:val="007F289B"/>
    <w:rsid w:val="007F3266"/>
    <w:rsid w:val="007F3F2A"/>
    <w:rsid w:val="007F46B8"/>
    <w:rsid w:val="007F4736"/>
    <w:rsid w:val="007F4F0D"/>
    <w:rsid w:val="007F5BD3"/>
    <w:rsid w:val="007F64FB"/>
    <w:rsid w:val="007F7177"/>
    <w:rsid w:val="007F7350"/>
    <w:rsid w:val="008001AC"/>
    <w:rsid w:val="00800A15"/>
    <w:rsid w:val="008013AE"/>
    <w:rsid w:val="00804210"/>
    <w:rsid w:val="00805E9C"/>
    <w:rsid w:val="008062EC"/>
    <w:rsid w:val="00806300"/>
    <w:rsid w:val="00806505"/>
    <w:rsid w:val="008078DC"/>
    <w:rsid w:val="00810EAA"/>
    <w:rsid w:val="0081123C"/>
    <w:rsid w:val="00811399"/>
    <w:rsid w:val="0081150F"/>
    <w:rsid w:val="00811D05"/>
    <w:rsid w:val="00812852"/>
    <w:rsid w:val="00813484"/>
    <w:rsid w:val="00813617"/>
    <w:rsid w:val="00813ADF"/>
    <w:rsid w:val="00813C12"/>
    <w:rsid w:val="008140A0"/>
    <w:rsid w:val="008144A2"/>
    <w:rsid w:val="008144C3"/>
    <w:rsid w:val="008146E7"/>
    <w:rsid w:val="00816C4E"/>
    <w:rsid w:val="00816C99"/>
    <w:rsid w:val="00816ED3"/>
    <w:rsid w:val="00821BDA"/>
    <w:rsid w:val="008223C0"/>
    <w:rsid w:val="00822C59"/>
    <w:rsid w:val="00823CEE"/>
    <w:rsid w:val="00823E0C"/>
    <w:rsid w:val="0082523E"/>
    <w:rsid w:val="00825667"/>
    <w:rsid w:val="00826819"/>
    <w:rsid w:val="008333E9"/>
    <w:rsid w:val="008333EA"/>
    <w:rsid w:val="00833A4C"/>
    <w:rsid w:val="008348BB"/>
    <w:rsid w:val="0083592C"/>
    <w:rsid w:val="00835CD4"/>
    <w:rsid w:val="00836A72"/>
    <w:rsid w:val="00837D02"/>
    <w:rsid w:val="0084049E"/>
    <w:rsid w:val="00841996"/>
    <w:rsid w:val="00841C97"/>
    <w:rsid w:val="00842496"/>
    <w:rsid w:val="00842896"/>
    <w:rsid w:val="00842C25"/>
    <w:rsid w:val="00843F71"/>
    <w:rsid w:val="00845CB8"/>
    <w:rsid w:val="00845F44"/>
    <w:rsid w:val="00846170"/>
    <w:rsid w:val="00847059"/>
    <w:rsid w:val="00850117"/>
    <w:rsid w:val="008521DF"/>
    <w:rsid w:val="00852B7A"/>
    <w:rsid w:val="0085355F"/>
    <w:rsid w:val="00853FC9"/>
    <w:rsid w:val="00854F52"/>
    <w:rsid w:val="00855165"/>
    <w:rsid w:val="008564B2"/>
    <w:rsid w:val="008565EF"/>
    <w:rsid w:val="00857EFE"/>
    <w:rsid w:val="008600BB"/>
    <w:rsid w:val="00860989"/>
    <w:rsid w:val="008614CC"/>
    <w:rsid w:val="0086193A"/>
    <w:rsid w:val="00862846"/>
    <w:rsid w:val="00864DEB"/>
    <w:rsid w:val="00864E46"/>
    <w:rsid w:val="00864F9C"/>
    <w:rsid w:val="00864FC5"/>
    <w:rsid w:val="00865A6E"/>
    <w:rsid w:val="0086623C"/>
    <w:rsid w:val="008669C4"/>
    <w:rsid w:val="008718E9"/>
    <w:rsid w:val="00872524"/>
    <w:rsid w:val="008727E0"/>
    <w:rsid w:val="00872EC5"/>
    <w:rsid w:val="00873F86"/>
    <w:rsid w:val="008743C7"/>
    <w:rsid w:val="00875065"/>
    <w:rsid w:val="008761EA"/>
    <w:rsid w:val="00876D5E"/>
    <w:rsid w:val="00877DA5"/>
    <w:rsid w:val="00880370"/>
    <w:rsid w:val="008804D3"/>
    <w:rsid w:val="008822DC"/>
    <w:rsid w:val="008827CD"/>
    <w:rsid w:val="00882F19"/>
    <w:rsid w:val="0088331C"/>
    <w:rsid w:val="008836C9"/>
    <w:rsid w:val="0088446E"/>
    <w:rsid w:val="00885898"/>
    <w:rsid w:val="00886A7B"/>
    <w:rsid w:val="008871D6"/>
    <w:rsid w:val="0088737D"/>
    <w:rsid w:val="00887B6B"/>
    <w:rsid w:val="00891DED"/>
    <w:rsid w:val="008921D1"/>
    <w:rsid w:val="0089280F"/>
    <w:rsid w:val="00893726"/>
    <w:rsid w:val="008947BD"/>
    <w:rsid w:val="00894F9C"/>
    <w:rsid w:val="008959BF"/>
    <w:rsid w:val="008A00EF"/>
    <w:rsid w:val="008A0967"/>
    <w:rsid w:val="008A0C10"/>
    <w:rsid w:val="008A0F48"/>
    <w:rsid w:val="008A19F7"/>
    <w:rsid w:val="008A35C4"/>
    <w:rsid w:val="008A37F8"/>
    <w:rsid w:val="008A459E"/>
    <w:rsid w:val="008A51F3"/>
    <w:rsid w:val="008A5392"/>
    <w:rsid w:val="008A63F3"/>
    <w:rsid w:val="008A74B3"/>
    <w:rsid w:val="008A75A0"/>
    <w:rsid w:val="008A7953"/>
    <w:rsid w:val="008B0933"/>
    <w:rsid w:val="008B0C7C"/>
    <w:rsid w:val="008B1532"/>
    <w:rsid w:val="008B37C5"/>
    <w:rsid w:val="008B45EB"/>
    <w:rsid w:val="008B4CB0"/>
    <w:rsid w:val="008B4D69"/>
    <w:rsid w:val="008B5083"/>
    <w:rsid w:val="008B5FB5"/>
    <w:rsid w:val="008B65E4"/>
    <w:rsid w:val="008B6634"/>
    <w:rsid w:val="008B710C"/>
    <w:rsid w:val="008C02F0"/>
    <w:rsid w:val="008C038C"/>
    <w:rsid w:val="008C2D9D"/>
    <w:rsid w:val="008C3607"/>
    <w:rsid w:val="008C427A"/>
    <w:rsid w:val="008C4CD4"/>
    <w:rsid w:val="008C4FC7"/>
    <w:rsid w:val="008C6C9D"/>
    <w:rsid w:val="008C6FB6"/>
    <w:rsid w:val="008D1567"/>
    <w:rsid w:val="008D2142"/>
    <w:rsid w:val="008D28EE"/>
    <w:rsid w:val="008D3011"/>
    <w:rsid w:val="008D3597"/>
    <w:rsid w:val="008D71B7"/>
    <w:rsid w:val="008E0564"/>
    <w:rsid w:val="008E186C"/>
    <w:rsid w:val="008E211C"/>
    <w:rsid w:val="008E243F"/>
    <w:rsid w:val="008E2B50"/>
    <w:rsid w:val="008E3DE8"/>
    <w:rsid w:val="008E4DBC"/>
    <w:rsid w:val="008E5451"/>
    <w:rsid w:val="008E5AC9"/>
    <w:rsid w:val="008E6BAB"/>
    <w:rsid w:val="008F02FE"/>
    <w:rsid w:val="008F0704"/>
    <w:rsid w:val="008F19D8"/>
    <w:rsid w:val="008F1A0A"/>
    <w:rsid w:val="008F2516"/>
    <w:rsid w:val="008F2E22"/>
    <w:rsid w:val="008F30DB"/>
    <w:rsid w:val="008F42BF"/>
    <w:rsid w:val="008F449D"/>
    <w:rsid w:val="008F4E13"/>
    <w:rsid w:val="008F5023"/>
    <w:rsid w:val="008F5797"/>
    <w:rsid w:val="008F59C3"/>
    <w:rsid w:val="008F6168"/>
    <w:rsid w:val="008F726A"/>
    <w:rsid w:val="008F744F"/>
    <w:rsid w:val="00902CD9"/>
    <w:rsid w:val="00903B95"/>
    <w:rsid w:val="0090642B"/>
    <w:rsid w:val="009075D8"/>
    <w:rsid w:val="00907666"/>
    <w:rsid w:val="009076AB"/>
    <w:rsid w:val="00910468"/>
    <w:rsid w:val="00911CA6"/>
    <w:rsid w:val="009134C5"/>
    <w:rsid w:val="00913615"/>
    <w:rsid w:val="00913BD9"/>
    <w:rsid w:val="00914145"/>
    <w:rsid w:val="00916ABB"/>
    <w:rsid w:val="00917D34"/>
    <w:rsid w:val="00917EC5"/>
    <w:rsid w:val="00920370"/>
    <w:rsid w:val="009205BD"/>
    <w:rsid w:val="009205E4"/>
    <w:rsid w:val="00920E0C"/>
    <w:rsid w:val="00921397"/>
    <w:rsid w:val="009215C0"/>
    <w:rsid w:val="00921BB7"/>
    <w:rsid w:val="00921F37"/>
    <w:rsid w:val="009221D1"/>
    <w:rsid w:val="00922A3D"/>
    <w:rsid w:val="00922C7B"/>
    <w:rsid w:val="0092412B"/>
    <w:rsid w:val="00926984"/>
    <w:rsid w:val="00926D40"/>
    <w:rsid w:val="009276FE"/>
    <w:rsid w:val="00927B49"/>
    <w:rsid w:val="00927F59"/>
    <w:rsid w:val="00931433"/>
    <w:rsid w:val="009317FF"/>
    <w:rsid w:val="00932269"/>
    <w:rsid w:val="009325C3"/>
    <w:rsid w:val="009328EE"/>
    <w:rsid w:val="009339FF"/>
    <w:rsid w:val="00935219"/>
    <w:rsid w:val="0093524E"/>
    <w:rsid w:val="00937FF7"/>
    <w:rsid w:val="00940048"/>
    <w:rsid w:val="00940308"/>
    <w:rsid w:val="00940558"/>
    <w:rsid w:val="00941583"/>
    <w:rsid w:val="00941E96"/>
    <w:rsid w:val="009426AF"/>
    <w:rsid w:val="00942AA1"/>
    <w:rsid w:val="00943152"/>
    <w:rsid w:val="00943731"/>
    <w:rsid w:val="009437D1"/>
    <w:rsid w:val="00944DF9"/>
    <w:rsid w:val="009524AA"/>
    <w:rsid w:val="00952531"/>
    <w:rsid w:val="009536AC"/>
    <w:rsid w:val="00953718"/>
    <w:rsid w:val="00953900"/>
    <w:rsid w:val="00961802"/>
    <w:rsid w:val="0096441E"/>
    <w:rsid w:val="0096480A"/>
    <w:rsid w:val="009653B1"/>
    <w:rsid w:val="00965C04"/>
    <w:rsid w:val="0096650C"/>
    <w:rsid w:val="009667D6"/>
    <w:rsid w:val="00967AE4"/>
    <w:rsid w:val="00967FB8"/>
    <w:rsid w:val="009713C2"/>
    <w:rsid w:val="00971973"/>
    <w:rsid w:val="00974DC8"/>
    <w:rsid w:val="00975412"/>
    <w:rsid w:val="00975B5A"/>
    <w:rsid w:val="00976185"/>
    <w:rsid w:val="00977123"/>
    <w:rsid w:val="0097791F"/>
    <w:rsid w:val="00977D72"/>
    <w:rsid w:val="009817AE"/>
    <w:rsid w:val="00981CAA"/>
    <w:rsid w:val="009834DF"/>
    <w:rsid w:val="009838DA"/>
    <w:rsid w:val="00983AA1"/>
    <w:rsid w:val="00983B74"/>
    <w:rsid w:val="00983ED7"/>
    <w:rsid w:val="009842AB"/>
    <w:rsid w:val="0098485B"/>
    <w:rsid w:val="00984E78"/>
    <w:rsid w:val="00985011"/>
    <w:rsid w:val="0098593D"/>
    <w:rsid w:val="00985B43"/>
    <w:rsid w:val="00985E5E"/>
    <w:rsid w:val="009866EF"/>
    <w:rsid w:val="009867B7"/>
    <w:rsid w:val="009902F4"/>
    <w:rsid w:val="0099065E"/>
    <w:rsid w:val="00990BFA"/>
    <w:rsid w:val="00991E8A"/>
    <w:rsid w:val="00992536"/>
    <w:rsid w:val="00992927"/>
    <w:rsid w:val="0099295F"/>
    <w:rsid w:val="00992ABA"/>
    <w:rsid w:val="0099378F"/>
    <w:rsid w:val="00993AAF"/>
    <w:rsid w:val="00994A00"/>
    <w:rsid w:val="009953F6"/>
    <w:rsid w:val="00996A53"/>
    <w:rsid w:val="009A01DD"/>
    <w:rsid w:val="009A04A6"/>
    <w:rsid w:val="009A1E13"/>
    <w:rsid w:val="009A24ED"/>
    <w:rsid w:val="009A2602"/>
    <w:rsid w:val="009A26F5"/>
    <w:rsid w:val="009A3371"/>
    <w:rsid w:val="009A479F"/>
    <w:rsid w:val="009A5598"/>
    <w:rsid w:val="009A56B5"/>
    <w:rsid w:val="009A6725"/>
    <w:rsid w:val="009A7FAA"/>
    <w:rsid w:val="009B2DC6"/>
    <w:rsid w:val="009B2EDD"/>
    <w:rsid w:val="009B3E9D"/>
    <w:rsid w:val="009B41E5"/>
    <w:rsid w:val="009B4765"/>
    <w:rsid w:val="009B48E1"/>
    <w:rsid w:val="009B513D"/>
    <w:rsid w:val="009B526B"/>
    <w:rsid w:val="009B6777"/>
    <w:rsid w:val="009B6ABB"/>
    <w:rsid w:val="009B765D"/>
    <w:rsid w:val="009C17D8"/>
    <w:rsid w:val="009C1A63"/>
    <w:rsid w:val="009C1F56"/>
    <w:rsid w:val="009C317B"/>
    <w:rsid w:val="009C3479"/>
    <w:rsid w:val="009C48C1"/>
    <w:rsid w:val="009C5987"/>
    <w:rsid w:val="009C5AC2"/>
    <w:rsid w:val="009C6B0C"/>
    <w:rsid w:val="009D1AFD"/>
    <w:rsid w:val="009D3F43"/>
    <w:rsid w:val="009D570B"/>
    <w:rsid w:val="009D5AC5"/>
    <w:rsid w:val="009D64BC"/>
    <w:rsid w:val="009E1DFA"/>
    <w:rsid w:val="009E1F4A"/>
    <w:rsid w:val="009E22FD"/>
    <w:rsid w:val="009E2FCA"/>
    <w:rsid w:val="009E3338"/>
    <w:rsid w:val="009E3ACA"/>
    <w:rsid w:val="009E4230"/>
    <w:rsid w:val="009E581B"/>
    <w:rsid w:val="009E5F3B"/>
    <w:rsid w:val="009E683E"/>
    <w:rsid w:val="009E6BA4"/>
    <w:rsid w:val="009E7922"/>
    <w:rsid w:val="009F07E7"/>
    <w:rsid w:val="009F10E6"/>
    <w:rsid w:val="009F1102"/>
    <w:rsid w:val="009F16B7"/>
    <w:rsid w:val="009F1E6D"/>
    <w:rsid w:val="009F2A08"/>
    <w:rsid w:val="009F3806"/>
    <w:rsid w:val="009F4F37"/>
    <w:rsid w:val="009F5093"/>
    <w:rsid w:val="009F5445"/>
    <w:rsid w:val="009F554A"/>
    <w:rsid w:val="009F57BF"/>
    <w:rsid w:val="009F5A83"/>
    <w:rsid w:val="009F5A93"/>
    <w:rsid w:val="009F5AC1"/>
    <w:rsid w:val="009F6817"/>
    <w:rsid w:val="009F6BDE"/>
    <w:rsid w:val="009F77D6"/>
    <w:rsid w:val="00A0012F"/>
    <w:rsid w:val="00A00694"/>
    <w:rsid w:val="00A07012"/>
    <w:rsid w:val="00A0769F"/>
    <w:rsid w:val="00A07968"/>
    <w:rsid w:val="00A1036E"/>
    <w:rsid w:val="00A10F07"/>
    <w:rsid w:val="00A11F7D"/>
    <w:rsid w:val="00A123A8"/>
    <w:rsid w:val="00A12422"/>
    <w:rsid w:val="00A1265E"/>
    <w:rsid w:val="00A138E8"/>
    <w:rsid w:val="00A13BD3"/>
    <w:rsid w:val="00A142B1"/>
    <w:rsid w:val="00A14797"/>
    <w:rsid w:val="00A14B55"/>
    <w:rsid w:val="00A15B67"/>
    <w:rsid w:val="00A16DBE"/>
    <w:rsid w:val="00A179BD"/>
    <w:rsid w:val="00A17B4B"/>
    <w:rsid w:val="00A212E8"/>
    <w:rsid w:val="00A2151C"/>
    <w:rsid w:val="00A21C13"/>
    <w:rsid w:val="00A21F94"/>
    <w:rsid w:val="00A237F1"/>
    <w:rsid w:val="00A23D29"/>
    <w:rsid w:val="00A24D9A"/>
    <w:rsid w:val="00A24EBD"/>
    <w:rsid w:val="00A24FF9"/>
    <w:rsid w:val="00A25161"/>
    <w:rsid w:val="00A25813"/>
    <w:rsid w:val="00A26359"/>
    <w:rsid w:val="00A26502"/>
    <w:rsid w:val="00A26774"/>
    <w:rsid w:val="00A26922"/>
    <w:rsid w:val="00A26B5E"/>
    <w:rsid w:val="00A26BCF"/>
    <w:rsid w:val="00A27931"/>
    <w:rsid w:val="00A31B91"/>
    <w:rsid w:val="00A31C22"/>
    <w:rsid w:val="00A31C94"/>
    <w:rsid w:val="00A31FFF"/>
    <w:rsid w:val="00A32E44"/>
    <w:rsid w:val="00A3321B"/>
    <w:rsid w:val="00A34884"/>
    <w:rsid w:val="00A3496A"/>
    <w:rsid w:val="00A35FDA"/>
    <w:rsid w:val="00A3703E"/>
    <w:rsid w:val="00A37165"/>
    <w:rsid w:val="00A373D9"/>
    <w:rsid w:val="00A37528"/>
    <w:rsid w:val="00A37690"/>
    <w:rsid w:val="00A37FB8"/>
    <w:rsid w:val="00A412A7"/>
    <w:rsid w:val="00A417DC"/>
    <w:rsid w:val="00A41C71"/>
    <w:rsid w:val="00A44C3E"/>
    <w:rsid w:val="00A46166"/>
    <w:rsid w:val="00A46564"/>
    <w:rsid w:val="00A470C1"/>
    <w:rsid w:val="00A47170"/>
    <w:rsid w:val="00A47D69"/>
    <w:rsid w:val="00A50416"/>
    <w:rsid w:val="00A509C5"/>
    <w:rsid w:val="00A526F1"/>
    <w:rsid w:val="00A536F0"/>
    <w:rsid w:val="00A53E11"/>
    <w:rsid w:val="00A55277"/>
    <w:rsid w:val="00A556D4"/>
    <w:rsid w:val="00A5657A"/>
    <w:rsid w:val="00A57632"/>
    <w:rsid w:val="00A57FCB"/>
    <w:rsid w:val="00A601B9"/>
    <w:rsid w:val="00A625EF"/>
    <w:rsid w:val="00A62633"/>
    <w:rsid w:val="00A62A70"/>
    <w:rsid w:val="00A6516E"/>
    <w:rsid w:val="00A667F0"/>
    <w:rsid w:val="00A66D30"/>
    <w:rsid w:val="00A66D56"/>
    <w:rsid w:val="00A6738F"/>
    <w:rsid w:val="00A70CB3"/>
    <w:rsid w:val="00A714B9"/>
    <w:rsid w:val="00A71CAF"/>
    <w:rsid w:val="00A72294"/>
    <w:rsid w:val="00A725D2"/>
    <w:rsid w:val="00A742BA"/>
    <w:rsid w:val="00A74514"/>
    <w:rsid w:val="00A747EB"/>
    <w:rsid w:val="00A74CB1"/>
    <w:rsid w:val="00A756FA"/>
    <w:rsid w:val="00A76DAA"/>
    <w:rsid w:val="00A77B99"/>
    <w:rsid w:val="00A77C79"/>
    <w:rsid w:val="00A77D79"/>
    <w:rsid w:val="00A80141"/>
    <w:rsid w:val="00A8181E"/>
    <w:rsid w:val="00A82CB9"/>
    <w:rsid w:val="00A8528C"/>
    <w:rsid w:val="00A85C8D"/>
    <w:rsid w:val="00A85FB3"/>
    <w:rsid w:val="00A86053"/>
    <w:rsid w:val="00A86DBE"/>
    <w:rsid w:val="00A872A2"/>
    <w:rsid w:val="00A8788A"/>
    <w:rsid w:val="00A92AD0"/>
    <w:rsid w:val="00A93256"/>
    <w:rsid w:val="00A934A6"/>
    <w:rsid w:val="00A93586"/>
    <w:rsid w:val="00A93853"/>
    <w:rsid w:val="00A93A83"/>
    <w:rsid w:val="00A95689"/>
    <w:rsid w:val="00A956D2"/>
    <w:rsid w:val="00A9577A"/>
    <w:rsid w:val="00A95A4C"/>
    <w:rsid w:val="00A95B29"/>
    <w:rsid w:val="00A96873"/>
    <w:rsid w:val="00A96BC9"/>
    <w:rsid w:val="00A970BF"/>
    <w:rsid w:val="00A970E5"/>
    <w:rsid w:val="00AA1330"/>
    <w:rsid w:val="00AA1966"/>
    <w:rsid w:val="00AA2503"/>
    <w:rsid w:val="00AA26DD"/>
    <w:rsid w:val="00AA34E0"/>
    <w:rsid w:val="00AA4836"/>
    <w:rsid w:val="00AA4949"/>
    <w:rsid w:val="00AA4E86"/>
    <w:rsid w:val="00AA5D41"/>
    <w:rsid w:val="00AA76AF"/>
    <w:rsid w:val="00AA7AAB"/>
    <w:rsid w:val="00AA7B5D"/>
    <w:rsid w:val="00AB0F58"/>
    <w:rsid w:val="00AB1C60"/>
    <w:rsid w:val="00AB2C59"/>
    <w:rsid w:val="00AB6806"/>
    <w:rsid w:val="00AB707F"/>
    <w:rsid w:val="00AC023F"/>
    <w:rsid w:val="00AC0DFD"/>
    <w:rsid w:val="00AC10BA"/>
    <w:rsid w:val="00AC2CF1"/>
    <w:rsid w:val="00AC2DC3"/>
    <w:rsid w:val="00AC2E9C"/>
    <w:rsid w:val="00AC41F3"/>
    <w:rsid w:val="00AC630F"/>
    <w:rsid w:val="00AC67DF"/>
    <w:rsid w:val="00AC6915"/>
    <w:rsid w:val="00AC772D"/>
    <w:rsid w:val="00AC794E"/>
    <w:rsid w:val="00AD0287"/>
    <w:rsid w:val="00AD02A8"/>
    <w:rsid w:val="00AD107D"/>
    <w:rsid w:val="00AD3208"/>
    <w:rsid w:val="00AD370A"/>
    <w:rsid w:val="00AD7A8E"/>
    <w:rsid w:val="00AD7BAE"/>
    <w:rsid w:val="00AE087E"/>
    <w:rsid w:val="00AE088D"/>
    <w:rsid w:val="00AE1863"/>
    <w:rsid w:val="00AE1E68"/>
    <w:rsid w:val="00AE3D88"/>
    <w:rsid w:val="00AE4F1F"/>
    <w:rsid w:val="00AE5721"/>
    <w:rsid w:val="00AE648D"/>
    <w:rsid w:val="00AF00B2"/>
    <w:rsid w:val="00AF017A"/>
    <w:rsid w:val="00AF06B7"/>
    <w:rsid w:val="00AF0EEA"/>
    <w:rsid w:val="00AF1354"/>
    <w:rsid w:val="00AF17BB"/>
    <w:rsid w:val="00AF1B06"/>
    <w:rsid w:val="00AF4B80"/>
    <w:rsid w:val="00AF5BE0"/>
    <w:rsid w:val="00AF5C4B"/>
    <w:rsid w:val="00AF7203"/>
    <w:rsid w:val="00AF746D"/>
    <w:rsid w:val="00AF77E5"/>
    <w:rsid w:val="00AF77F4"/>
    <w:rsid w:val="00B0017F"/>
    <w:rsid w:val="00B005C3"/>
    <w:rsid w:val="00B005DF"/>
    <w:rsid w:val="00B02535"/>
    <w:rsid w:val="00B03B12"/>
    <w:rsid w:val="00B04144"/>
    <w:rsid w:val="00B0464F"/>
    <w:rsid w:val="00B04AC9"/>
    <w:rsid w:val="00B04F4A"/>
    <w:rsid w:val="00B05183"/>
    <w:rsid w:val="00B05DA0"/>
    <w:rsid w:val="00B063F3"/>
    <w:rsid w:val="00B0640B"/>
    <w:rsid w:val="00B07276"/>
    <w:rsid w:val="00B108C8"/>
    <w:rsid w:val="00B131B4"/>
    <w:rsid w:val="00B13929"/>
    <w:rsid w:val="00B13C3D"/>
    <w:rsid w:val="00B15314"/>
    <w:rsid w:val="00B15385"/>
    <w:rsid w:val="00B15703"/>
    <w:rsid w:val="00B17186"/>
    <w:rsid w:val="00B178F3"/>
    <w:rsid w:val="00B208D9"/>
    <w:rsid w:val="00B21745"/>
    <w:rsid w:val="00B21D59"/>
    <w:rsid w:val="00B232F5"/>
    <w:rsid w:val="00B234BE"/>
    <w:rsid w:val="00B23AA9"/>
    <w:rsid w:val="00B23BDF"/>
    <w:rsid w:val="00B23FB8"/>
    <w:rsid w:val="00B244CF"/>
    <w:rsid w:val="00B24825"/>
    <w:rsid w:val="00B24EE3"/>
    <w:rsid w:val="00B25066"/>
    <w:rsid w:val="00B26561"/>
    <w:rsid w:val="00B26A79"/>
    <w:rsid w:val="00B26E68"/>
    <w:rsid w:val="00B27C18"/>
    <w:rsid w:val="00B30641"/>
    <w:rsid w:val="00B30836"/>
    <w:rsid w:val="00B30A9B"/>
    <w:rsid w:val="00B30D59"/>
    <w:rsid w:val="00B312E5"/>
    <w:rsid w:val="00B319CF"/>
    <w:rsid w:val="00B31BF9"/>
    <w:rsid w:val="00B32C9D"/>
    <w:rsid w:val="00B3329D"/>
    <w:rsid w:val="00B34CC3"/>
    <w:rsid w:val="00B35085"/>
    <w:rsid w:val="00B37311"/>
    <w:rsid w:val="00B3744D"/>
    <w:rsid w:val="00B37892"/>
    <w:rsid w:val="00B40988"/>
    <w:rsid w:val="00B4114A"/>
    <w:rsid w:val="00B41722"/>
    <w:rsid w:val="00B41E39"/>
    <w:rsid w:val="00B41E6F"/>
    <w:rsid w:val="00B429F5"/>
    <w:rsid w:val="00B42F27"/>
    <w:rsid w:val="00B43861"/>
    <w:rsid w:val="00B43CBB"/>
    <w:rsid w:val="00B45906"/>
    <w:rsid w:val="00B469A3"/>
    <w:rsid w:val="00B46A8A"/>
    <w:rsid w:val="00B503DD"/>
    <w:rsid w:val="00B50543"/>
    <w:rsid w:val="00B505EB"/>
    <w:rsid w:val="00B51EF7"/>
    <w:rsid w:val="00B53394"/>
    <w:rsid w:val="00B5773B"/>
    <w:rsid w:val="00B606B3"/>
    <w:rsid w:val="00B60B10"/>
    <w:rsid w:val="00B61A3C"/>
    <w:rsid w:val="00B6339E"/>
    <w:rsid w:val="00B634F6"/>
    <w:rsid w:val="00B644AA"/>
    <w:rsid w:val="00B64680"/>
    <w:rsid w:val="00B65243"/>
    <w:rsid w:val="00B65532"/>
    <w:rsid w:val="00B67FA9"/>
    <w:rsid w:val="00B7033E"/>
    <w:rsid w:val="00B705B3"/>
    <w:rsid w:val="00B70BBF"/>
    <w:rsid w:val="00B717A1"/>
    <w:rsid w:val="00B72693"/>
    <w:rsid w:val="00B74759"/>
    <w:rsid w:val="00B75355"/>
    <w:rsid w:val="00B772AE"/>
    <w:rsid w:val="00B7747F"/>
    <w:rsid w:val="00B80FC2"/>
    <w:rsid w:val="00B81865"/>
    <w:rsid w:val="00B81D6F"/>
    <w:rsid w:val="00B82B2A"/>
    <w:rsid w:val="00B836A5"/>
    <w:rsid w:val="00B8500A"/>
    <w:rsid w:val="00B85EFB"/>
    <w:rsid w:val="00B86262"/>
    <w:rsid w:val="00B872C5"/>
    <w:rsid w:val="00B87AB4"/>
    <w:rsid w:val="00B90B0F"/>
    <w:rsid w:val="00B90D74"/>
    <w:rsid w:val="00B90DCA"/>
    <w:rsid w:val="00B90F7E"/>
    <w:rsid w:val="00B90FA5"/>
    <w:rsid w:val="00B90FA6"/>
    <w:rsid w:val="00B91534"/>
    <w:rsid w:val="00B91B32"/>
    <w:rsid w:val="00B91D7E"/>
    <w:rsid w:val="00B929B4"/>
    <w:rsid w:val="00B931B4"/>
    <w:rsid w:val="00B94173"/>
    <w:rsid w:val="00B94AC5"/>
    <w:rsid w:val="00B94CA5"/>
    <w:rsid w:val="00B96301"/>
    <w:rsid w:val="00B96CEC"/>
    <w:rsid w:val="00BA11D0"/>
    <w:rsid w:val="00BA1F19"/>
    <w:rsid w:val="00BA2699"/>
    <w:rsid w:val="00BA70D3"/>
    <w:rsid w:val="00BA71A4"/>
    <w:rsid w:val="00BB04DC"/>
    <w:rsid w:val="00BB1049"/>
    <w:rsid w:val="00BB1195"/>
    <w:rsid w:val="00BB2B68"/>
    <w:rsid w:val="00BB3CBD"/>
    <w:rsid w:val="00BB42C4"/>
    <w:rsid w:val="00BB5A9C"/>
    <w:rsid w:val="00BC0271"/>
    <w:rsid w:val="00BC0867"/>
    <w:rsid w:val="00BC0C49"/>
    <w:rsid w:val="00BC1679"/>
    <w:rsid w:val="00BC1961"/>
    <w:rsid w:val="00BC2216"/>
    <w:rsid w:val="00BC268A"/>
    <w:rsid w:val="00BC2AA6"/>
    <w:rsid w:val="00BC3453"/>
    <w:rsid w:val="00BC35D6"/>
    <w:rsid w:val="00BC3691"/>
    <w:rsid w:val="00BC4927"/>
    <w:rsid w:val="00BC55EE"/>
    <w:rsid w:val="00BC64D0"/>
    <w:rsid w:val="00BC6941"/>
    <w:rsid w:val="00BD166E"/>
    <w:rsid w:val="00BD17F1"/>
    <w:rsid w:val="00BD1C64"/>
    <w:rsid w:val="00BD21C2"/>
    <w:rsid w:val="00BD2BA0"/>
    <w:rsid w:val="00BD3017"/>
    <w:rsid w:val="00BD3778"/>
    <w:rsid w:val="00BD4657"/>
    <w:rsid w:val="00BD4F54"/>
    <w:rsid w:val="00BD5779"/>
    <w:rsid w:val="00BD5F19"/>
    <w:rsid w:val="00BD66EE"/>
    <w:rsid w:val="00BD7C3E"/>
    <w:rsid w:val="00BD7D6F"/>
    <w:rsid w:val="00BE01D5"/>
    <w:rsid w:val="00BE08D7"/>
    <w:rsid w:val="00BE2701"/>
    <w:rsid w:val="00BE2A26"/>
    <w:rsid w:val="00BE3A9A"/>
    <w:rsid w:val="00BE3CE7"/>
    <w:rsid w:val="00BE48AD"/>
    <w:rsid w:val="00BE5B04"/>
    <w:rsid w:val="00BE63EF"/>
    <w:rsid w:val="00BE7278"/>
    <w:rsid w:val="00BE77DF"/>
    <w:rsid w:val="00BF18DC"/>
    <w:rsid w:val="00BF2666"/>
    <w:rsid w:val="00BF39A7"/>
    <w:rsid w:val="00BF4792"/>
    <w:rsid w:val="00BF5C26"/>
    <w:rsid w:val="00BF6165"/>
    <w:rsid w:val="00BF73FE"/>
    <w:rsid w:val="00BF7A04"/>
    <w:rsid w:val="00BF7CCA"/>
    <w:rsid w:val="00BF7F12"/>
    <w:rsid w:val="00C011FC"/>
    <w:rsid w:val="00C015B5"/>
    <w:rsid w:val="00C018A2"/>
    <w:rsid w:val="00C02889"/>
    <w:rsid w:val="00C02F9C"/>
    <w:rsid w:val="00C033FC"/>
    <w:rsid w:val="00C03772"/>
    <w:rsid w:val="00C050CC"/>
    <w:rsid w:val="00C0639F"/>
    <w:rsid w:val="00C0693E"/>
    <w:rsid w:val="00C07E7F"/>
    <w:rsid w:val="00C100B4"/>
    <w:rsid w:val="00C107CE"/>
    <w:rsid w:val="00C11406"/>
    <w:rsid w:val="00C11F85"/>
    <w:rsid w:val="00C1449E"/>
    <w:rsid w:val="00C145F6"/>
    <w:rsid w:val="00C14890"/>
    <w:rsid w:val="00C1564C"/>
    <w:rsid w:val="00C15E86"/>
    <w:rsid w:val="00C175B3"/>
    <w:rsid w:val="00C178EA"/>
    <w:rsid w:val="00C17E9C"/>
    <w:rsid w:val="00C2031F"/>
    <w:rsid w:val="00C20A1E"/>
    <w:rsid w:val="00C20AB7"/>
    <w:rsid w:val="00C21920"/>
    <w:rsid w:val="00C21E46"/>
    <w:rsid w:val="00C22098"/>
    <w:rsid w:val="00C22742"/>
    <w:rsid w:val="00C232EF"/>
    <w:rsid w:val="00C24017"/>
    <w:rsid w:val="00C24894"/>
    <w:rsid w:val="00C24FF1"/>
    <w:rsid w:val="00C26866"/>
    <w:rsid w:val="00C27338"/>
    <w:rsid w:val="00C27BB9"/>
    <w:rsid w:val="00C27E6E"/>
    <w:rsid w:val="00C302F8"/>
    <w:rsid w:val="00C30CAB"/>
    <w:rsid w:val="00C31F48"/>
    <w:rsid w:val="00C31FCE"/>
    <w:rsid w:val="00C3279E"/>
    <w:rsid w:val="00C33374"/>
    <w:rsid w:val="00C36140"/>
    <w:rsid w:val="00C36F1C"/>
    <w:rsid w:val="00C407C4"/>
    <w:rsid w:val="00C40AC8"/>
    <w:rsid w:val="00C40CFD"/>
    <w:rsid w:val="00C40E93"/>
    <w:rsid w:val="00C4219D"/>
    <w:rsid w:val="00C42246"/>
    <w:rsid w:val="00C42A12"/>
    <w:rsid w:val="00C43E09"/>
    <w:rsid w:val="00C43F8C"/>
    <w:rsid w:val="00C441D7"/>
    <w:rsid w:val="00C46743"/>
    <w:rsid w:val="00C469A7"/>
    <w:rsid w:val="00C46FAF"/>
    <w:rsid w:val="00C470CA"/>
    <w:rsid w:val="00C500B2"/>
    <w:rsid w:val="00C53436"/>
    <w:rsid w:val="00C540DC"/>
    <w:rsid w:val="00C54619"/>
    <w:rsid w:val="00C54EB4"/>
    <w:rsid w:val="00C54F8D"/>
    <w:rsid w:val="00C57494"/>
    <w:rsid w:val="00C5783F"/>
    <w:rsid w:val="00C57A52"/>
    <w:rsid w:val="00C60510"/>
    <w:rsid w:val="00C607C2"/>
    <w:rsid w:val="00C6150C"/>
    <w:rsid w:val="00C618C6"/>
    <w:rsid w:val="00C61933"/>
    <w:rsid w:val="00C62018"/>
    <w:rsid w:val="00C63653"/>
    <w:rsid w:val="00C64168"/>
    <w:rsid w:val="00C6436F"/>
    <w:rsid w:val="00C6479D"/>
    <w:rsid w:val="00C64A2E"/>
    <w:rsid w:val="00C64C78"/>
    <w:rsid w:val="00C6506A"/>
    <w:rsid w:val="00C65456"/>
    <w:rsid w:val="00C66FE3"/>
    <w:rsid w:val="00C67D97"/>
    <w:rsid w:val="00C67DF3"/>
    <w:rsid w:val="00C716C4"/>
    <w:rsid w:val="00C71DA8"/>
    <w:rsid w:val="00C72FAC"/>
    <w:rsid w:val="00C73474"/>
    <w:rsid w:val="00C7439A"/>
    <w:rsid w:val="00C74BD5"/>
    <w:rsid w:val="00C74FC1"/>
    <w:rsid w:val="00C75D0A"/>
    <w:rsid w:val="00C77D58"/>
    <w:rsid w:val="00C77FA5"/>
    <w:rsid w:val="00C8170A"/>
    <w:rsid w:val="00C81908"/>
    <w:rsid w:val="00C830C6"/>
    <w:rsid w:val="00C835B0"/>
    <w:rsid w:val="00C87A5F"/>
    <w:rsid w:val="00C902AB"/>
    <w:rsid w:val="00C90C67"/>
    <w:rsid w:val="00C91005"/>
    <w:rsid w:val="00C91A79"/>
    <w:rsid w:val="00C92D1E"/>
    <w:rsid w:val="00C92FC1"/>
    <w:rsid w:val="00C931D9"/>
    <w:rsid w:val="00C93838"/>
    <w:rsid w:val="00C93847"/>
    <w:rsid w:val="00C93D70"/>
    <w:rsid w:val="00C95B7A"/>
    <w:rsid w:val="00C95B7B"/>
    <w:rsid w:val="00C96425"/>
    <w:rsid w:val="00C964AF"/>
    <w:rsid w:val="00C97443"/>
    <w:rsid w:val="00C97D14"/>
    <w:rsid w:val="00CA0C0C"/>
    <w:rsid w:val="00CA1D5E"/>
    <w:rsid w:val="00CA308E"/>
    <w:rsid w:val="00CA36FA"/>
    <w:rsid w:val="00CA3B1F"/>
    <w:rsid w:val="00CA3BCB"/>
    <w:rsid w:val="00CA4418"/>
    <w:rsid w:val="00CA44FC"/>
    <w:rsid w:val="00CA4E20"/>
    <w:rsid w:val="00CA5050"/>
    <w:rsid w:val="00CA5851"/>
    <w:rsid w:val="00CB0007"/>
    <w:rsid w:val="00CB0837"/>
    <w:rsid w:val="00CB09E6"/>
    <w:rsid w:val="00CB0E77"/>
    <w:rsid w:val="00CB17F0"/>
    <w:rsid w:val="00CB1C0B"/>
    <w:rsid w:val="00CB3C89"/>
    <w:rsid w:val="00CB5AD8"/>
    <w:rsid w:val="00CB5AE6"/>
    <w:rsid w:val="00CB62AA"/>
    <w:rsid w:val="00CB64A5"/>
    <w:rsid w:val="00CB6A98"/>
    <w:rsid w:val="00CB73E8"/>
    <w:rsid w:val="00CB7F8C"/>
    <w:rsid w:val="00CC1708"/>
    <w:rsid w:val="00CC255C"/>
    <w:rsid w:val="00CC279A"/>
    <w:rsid w:val="00CC3305"/>
    <w:rsid w:val="00CC455D"/>
    <w:rsid w:val="00CC4C8E"/>
    <w:rsid w:val="00CC5886"/>
    <w:rsid w:val="00CC5D63"/>
    <w:rsid w:val="00CC6005"/>
    <w:rsid w:val="00CC70FD"/>
    <w:rsid w:val="00CC7A30"/>
    <w:rsid w:val="00CD009F"/>
    <w:rsid w:val="00CD01F4"/>
    <w:rsid w:val="00CD1860"/>
    <w:rsid w:val="00CD2791"/>
    <w:rsid w:val="00CD3AC2"/>
    <w:rsid w:val="00CD5521"/>
    <w:rsid w:val="00CD57CE"/>
    <w:rsid w:val="00CD64CB"/>
    <w:rsid w:val="00CE0B47"/>
    <w:rsid w:val="00CE203F"/>
    <w:rsid w:val="00CE23FE"/>
    <w:rsid w:val="00CE3C63"/>
    <w:rsid w:val="00CE3DF2"/>
    <w:rsid w:val="00CE7EF4"/>
    <w:rsid w:val="00CF0A7B"/>
    <w:rsid w:val="00CF12DF"/>
    <w:rsid w:val="00CF1A21"/>
    <w:rsid w:val="00CF1D4B"/>
    <w:rsid w:val="00CF2451"/>
    <w:rsid w:val="00CF2ACE"/>
    <w:rsid w:val="00CF54C9"/>
    <w:rsid w:val="00CF5C88"/>
    <w:rsid w:val="00CF6663"/>
    <w:rsid w:val="00D01668"/>
    <w:rsid w:val="00D018D1"/>
    <w:rsid w:val="00D01BCB"/>
    <w:rsid w:val="00D02AD6"/>
    <w:rsid w:val="00D02E1D"/>
    <w:rsid w:val="00D034AD"/>
    <w:rsid w:val="00D03A7A"/>
    <w:rsid w:val="00D03B0B"/>
    <w:rsid w:val="00D03BF6"/>
    <w:rsid w:val="00D03EE0"/>
    <w:rsid w:val="00D042EA"/>
    <w:rsid w:val="00D04D9A"/>
    <w:rsid w:val="00D0537B"/>
    <w:rsid w:val="00D05EE6"/>
    <w:rsid w:val="00D066A3"/>
    <w:rsid w:val="00D0688E"/>
    <w:rsid w:val="00D06E58"/>
    <w:rsid w:val="00D070C8"/>
    <w:rsid w:val="00D070DA"/>
    <w:rsid w:val="00D10B14"/>
    <w:rsid w:val="00D12A68"/>
    <w:rsid w:val="00D142D1"/>
    <w:rsid w:val="00D1539F"/>
    <w:rsid w:val="00D15D3B"/>
    <w:rsid w:val="00D15F1C"/>
    <w:rsid w:val="00D162F5"/>
    <w:rsid w:val="00D16BDD"/>
    <w:rsid w:val="00D16E1E"/>
    <w:rsid w:val="00D16F2F"/>
    <w:rsid w:val="00D1768C"/>
    <w:rsid w:val="00D17985"/>
    <w:rsid w:val="00D20910"/>
    <w:rsid w:val="00D20C8E"/>
    <w:rsid w:val="00D222DD"/>
    <w:rsid w:val="00D22668"/>
    <w:rsid w:val="00D22908"/>
    <w:rsid w:val="00D22931"/>
    <w:rsid w:val="00D23A3D"/>
    <w:rsid w:val="00D243EC"/>
    <w:rsid w:val="00D24BA0"/>
    <w:rsid w:val="00D250D7"/>
    <w:rsid w:val="00D25607"/>
    <w:rsid w:val="00D27152"/>
    <w:rsid w:val="00D27514"/>
    <w:rsid w:val="00D27F58"/>
    <w:rsid w:val="00D3065A"/>
    <w:rsid w:val="00D31210"/>
    <w:rsid w:val="00D320BB"/>
    <w:rsid w:val="00D322A4"/>
    <w:rsid w:val="00D32398"/>
    <w:rsid w:val="00D3258E"/>
    <w:rsid w:val="00D33184"/>
    <w:rsid w:val="00D35957"/>
    <w:rsid w:val="00D36E70"/>
    <w:rsid w:val="00D36E7C"/>
    <w:rsid w:val="00D4155F"/>
    <w:rsid w:val="00D420B1"/>
    <w:rsid w:val="00D4299C"/>
    <w:rsid w:val="00D43048"/>
    <w:rsid w:val="00D44026"/>
    <w:rsid w:val="00D448C6"/>
    <w:rsid w:val="00D449AD"/>
    <w:rsid w:val="00D45DCF"/>
    <w:rsid w:val="00D466FC"/>
    <w:rsid w:val="00D475AC"/>
    <w:rsid w:val="00D47946"/>
    <w:rsid w:val="00D50AD6"/>
    <w:rsid w:val="00D51747"/>
    <w:rsid w:val="00D53737"/>
    <w:rsid w:val="00D53FE2"/>
    <w:rsid w:val="00D548E3"/>
    <w:rsid w:val="00D5584E"/>
    <w:rsid w:val="00D55EB4"/>
    <w:rsid w:val="00D5671C"/>
    <w:rsid w:val="00D56846"/>
    <w:rsid w:val="00D609E3"/>
    <w:rsid w:val="00D60B2B"/>
    <w:rsid w:val="00D60CAD"/>
    <w:rsid w:val="00D61E9A"/>
    <w:rsid w:val="00D62106"/>
    <w:rsid w:val="00D628F1"/>
    <w:rsid w:val="00D629B2"/>
    <w:rsid w:val="00D62BC9"/>
    <w:rsid w:val="00D639D1"/>
    <w:rsid w:val="00D65013"/>
    <w:rsid w:val="00D6583D"/>
    <w:rsid w:val="00D65DC3"/>
    <w:rsid w:val="00D65F80"/>
    <w:rsid w:val="00D6701A"/>
    <w:rsid w:val="00D679C8"/>
    <w:rsid w:val="00D67C68"/>
    <w:rsid w:val="00D67D03"/>
    <w:rsid w:val="00D702B9"/>
    <w:rsid w:val="00D70ACC"/>
    <w:rsid w:val="00D71412"/>
    <w:rsid w:val="00D71EF5"/>
    <w:rsid w:val="00D73ECD"/>
    <w:rsid w:val="00D74C08"/>
    <w:rsid w:val="00D74EC4"/>
    <w:rsid w:val="00D760A8"/>
    <w:rsid w:val="00D763BD"/>
    <w:rsid w:val="00D8188F"/>
    <w:rsid w:val="00D81E7B"/>
    <w:rsid w:val="00D8242A"/>
    <w:rsid w:val="00D83540"/>
    <w:rsid w:val="00D83EF3"/>
    <w:rsid w:val="00D85622"/>
    <w:rsid w:val="00D8562D"/>
    <w:rsid w:val="00D868FD"/>
    <w:rsid w:val="00D86ADD"/>
    <w:rsid w:val="00D8753C"/>
    <w:rsid w:val="00D87F9A"/>
    <w:rsid w:val="00D908E7"/>
    <w:rsid w:val="00D928DD"/>
    <w:rsid w:val="00D92FE1"/>
    <w:rsid w:val="00D933F2"/>
    <w:rsid w:val="00D93C83"/>
    <w:rsid w:val="00D94273"/>
    <w:rsid w:val="00D942C2"/>
    <w:rsid w:val="00D9486F"/>
    <w:rsid w:val="00D94F76"/>
    <w:rsid w:val="00D95527"/>
    <w:rsid w:val="00D97190"/>
    <w:rsid w:val="00D97CD3"/>
    <w:rsid w:val="00D97E2C"/>
    <w:rsid w:val="00DA1BE3"/>
    <w:rsid w:val="00DA2E33"/>
    <w:rsid w:val="00DA3CDA"/>
    <w:rsid w:val="00DA3E20"/>
    <w:rsid w:val="00DA423F"/>
    <w:rsid w:val="00DA4BBA"/>
    <w:rsid w:val="00DA4CE3"/>
    <w:rsid w:val="00DA5164"/>
    <w:rsid w:val="00DA5530"/>
    <w:rsid w:val="00DA6F64"/>
    <w:rsid w:val="00DB0030"/>
    <w:rsid w:val="00DB0160"/>
    <w:rsid w:val="00DB222B"/>
    <w:rsid w:val="00DB38B0"/>
    <w:rsid w:val="00DB3A36"/>
    <w:rsid w:val="00DB40F2"/>
    <w:rsid w:val="00DB4E80"/>
    <w:rsid w:val="00DB60D4"/>
    <w:rsid w:val="00DB6484"/>
    <w:rsid w:val="00DB65C5"/>
    <w:rsid w:val="00DB745F"/>
    <w:rsid w:val="00DC0427"/>
    <w:rsid w:val="00DC1469"/>
    <w:rsid w:val="00DC1D82"/>
    <w:rsid w:val="00DC4F63"/>
    <w:rsid w:val="00DC54AB"/>
    <w:rsid w:val="00DC7A72"/>
    <w:rsid w:val="00DD09AA"/>
    <w:rsid w:val="00DD0D97"/>
    <w:rsid w:val="00DD0E8A"/>
    <w:rsid w:val="00DD0EC1"/>
    <w:rsid w:val="00DD1036"/>
    <w:rsid w:val="00DD1717"/>
    <w:rsid w:val="00DD18C2"/>
    <w:rsid w:val="00DD21DF"/>
    <w:rsid w:val="00DD2996"/>
    <w:rsid w:val="00DD2CD9"/>
    <w:rsid w:val="00DD39C3"/>
    <w:rsid w:val="00DD3A1E"/>
    <w:rsid w:val="00DD4450"/>
    <w:rsid w:val="00DD4A6E"/>
    <w:rsid w:val="00DD5322"/>
    <w:rsid w:val="00DD540D"/>
    <w:rsid w:val="00DD6466"/>
    <w:rsid w:val="00DD6564"/>
    <w:rsid w:val="00DD7548"/>
    <w:rsid w:val="00DD77DE"/>
    <w:rsid w:val="00DD786F"/>
    <w:rsid w:val="00DE133F"/>
    <w:rsid w:val="00DE14D7"/>
    <w:rsid w:val="00DE161A"/>
    <w:rsid w:val="00DE3D66"/>
    <w:rsid w:val="00DE450E"/>
    <w:rsid w:val="00DE4AA7"/>
    <w:rsid w:val="00DE4FD2"/>
    <w:rsid w:val="00DF06D9"/>
    <w:rsid w:val="00DF1520"/>
    <w:rsid w:val="00DF162D"/>
    <w:rsid w:val="00DF30F5"/>
    <w:rsid w:val="00DF3344"/>
    <w:rsid w:val="00DF4CE1"/>
    <w:rsid w:val="00DF688A"/>
    <w:rsid w:val="00DF7400"/>
    <w:rsid w:val="00DF7E8C"/>
    <w:rsid w:val="00E00B0B"/>
    <w:rsid w:val="00E015E5"/>
    <w:rsid w:val="00E03398"/>
    <w:rsid w:val="00E04E47"/>
    <w:rsid w:val="00E04F6D"/>
    <w:rsid w:val="00E06E09"/>
    <w:rsid w:val="00E10D47"/>
    <w:rsid w:val="00E10D51"/>
    <w:rsid w:val="00E11BC2"/>
    <w:rsid w:val="00E12539"/>
    <w:rsid w:val="00E13B68"/>
    <w:rsid w:val="00E1620F"/>
    <w:rsid w:val="00E2000C"/>
    <w:rsid w:val="00E2006C"/>
    <w:rsid w:val="00E20140"/>
    <w:rsid w:val="00E20F29"/>
    <w:rsid w:val="00E210F0"/>
    <w:rsid w:val="00E212B6"/>
    <w:rsid w:val="00E22D31"/>
    <w:rsid w:val="00E22E15"/>
    <w:rsid w:val="00E2301F"/>
    <w:rsid w:val="00E248E1"/>
    <w:rsid w:val="00E27321"/>
    <w:rsid w:val="00E303E0"/>
    <w:rsid w:val="00E30943"/>
    <w:rsid w:val="00E30B28"/>
    <w:rsid w:val="00E30DB8"/>
    <w:rsid w:val="00E3141E"/>
    <w:rsid w:val="00E32C33"/>
    <w:rsid w:val="00E35370"/>
    <w:rsid w:val="00E3541D"/>
    <w:rsid w:val="00E35F42"/>
    <w:rsid w:val="00E3608E"/>
    <w:rsid w:val="00E36258"/>
    <w:rsid w:val="00E377D1"/>
    <w:rsid w:val="00E40636"/>
    <w:rsid w:val="00E413E8"/>
    <w:rsid w:val="00E4352E"/>
    <w:rsid w:val="00E43659"/>
    <w:rsid w:val="00E4388B"/>
    <w:rsid w:val="00E4503E"/>
    <w:rsid w:val="00E45EA5"/>
    <w:rsid w:val="00E469AE"/>
    <w:rsid w:val="00E47779"/>
    <w:rsid w:val="00E47C73"/>
    <w:rsid w:val="00E503B7"/>
    <w:rsid w:val="00E50482"/>
    <w:rsid w:val="00E50C14"/>
    <w:rsid w:val="00E5376D"/>
    <w:rsid w:val="00E5425F"/>
    <w:rsid w:val="00E54D0F"/>
    <w:rsid w:val="00E554E6"/>
    <w:rsid w:val="00E55CCE"/>
    <w:rsid w:val="00E56E05"/>
    <w:rsid w:val="00E60C97"/>
    <w:rsid w:val="00E63582"/>
    <w:rsid w:val="00E64155"/>
    <w:rsid w:val="00E6416B"/>
    <w:rsid w:val="00E6489A"/>
    <w:rsid w:val="00E64C02"/>
    <w:rsid w:val="00E651A8"/>
    <w:rsid w:val="00E65946"/>
    <w:rsid w:val="00E66981"/>
    <w:rsid w:val="00E6744E"/>
    <w:rsid w:val="00E70842"/>
    <w:rsid w:val="00E70AB1"/>
    <w:rsid w:val="00E7105B"/>
    <w:rsid w:val="00E71757"/>
    <w:rsid w:val="00E727AF"/>
    <w:rsid w:val="00E72E56"/>
    <w:rsid w:val="00E73633"/>
    <w:rsid w:val="00E74747"/>
    <w:rsid w:val="00E7480B"/>
    <w:rsid w:val="00E74F77"/>
    <w:rsid w:val="00E74FC4"/>
    <w:rsid w:val="00E75C80"/>
    <w:rsid w:val="00E76BA1"/>
    <w:rsid w:val="00E7785F"/>
    <w:rsid w:val="00E80197"/>
    <w:rsid w:val="00E80A8E"/>
    <w:rsid w:val="00E81A69"/>
    <w:rsid w:val="00E841D5"/>
    <w:rsid w:val="00E84528"/>
    <w:rsid w:val="00E877B1"/>
    <w:rsid w:val="00E87ED2"/>
    <w:rsid w:val="00E90C6B"/>
    <w:rsid w:val="00E91213"/>
    <w:rsid w:val="00E918A8"/>
    <w:rsid w:val="00E9275A"/>
    <w:rsid w:val="00E92802"/>
    <w:rsid w:val="00E9286A"/>
    <w:rsid w:val="00E93426"/>
    <w:rsid w:val="00E94622"/>
    <w:rsid w:val="00E94FC4"/>
    <w:rsid w:val="00E97E14"/>
    <w:rsid w:val="00EA06A4"/>
    <w:rsid w:val="00EA06FB"/>
    <w:rsid w:val="00EA16AC"/>
    <w:rsid w:val="00EA34E8"/>
    <w:rsid w:val="00EA4A98"/>
    <w:rsid w:val="00EA5014"/>
    <w:rsid w:val="00EA5391"/>
    <w:rsid w:val="00EA5719"/>
    <w:rsid w:val="00EA58A3"/>
    <w:rsid w:val="00EA671B"/>
    <w:rsid w:val="00EA7B40"/>
    <w:rsid w:val="00EA7CFB"/>
    <w:rsid w:val="00EB03AC"/>
    <w:rsid w:val="00EB048F"/>
    <w:rsid w:val="00EB0887"/>
    <w:rsid w:val="00EB18A2"/>
    <w:rsid w:val="00EB1E61"/>
    <w:rsid w:val="00EB21B9"/>
    <w:rsid w:val="00EB28F4"/>
    <w:rsid w:val="00EB29A1"/>
    <w:rsid w:val="00EB4900"/>
    <w:rsid w:val="00EB4A34"/>
    <w:rsid w:val="00EB59E7"/>
    <w:rsid w:val="00EB7965"/>
    <w:rsid w:val="00EB79A4"/>
    <w:rsid w:val="00EC0368"/>
    <w:rsid w:val="00EC0A16"/>
    <w:rsid w:val="00EC0D14"/>
    <w:rsid w:val="00EC1F9F"/>
    <w:rsid w:val="00EC2C09"/>
    <w:rsid w:val="00EC34F9"/>
    <w:rsid w:val="00EC366D"/>
    <w:rsid w:val="00EC60F5"/>
    <w:rsid w:val="00EC62CD"/>
    <w:rsid w:val="00EC6858"/>
    <w:rsid w:val="00EC762B"/>
    <w:rsid w:val="00ED033F"/>
    <w:rsid w:val="00ED04D6"/>
    <w:rsid w:val="00ED15E7"/>
    <w:rsid w:val="00ED236E"/>
    <w:rsid w:val="00ED260E"/>
    <w:rsid w:val="00ED2E52"/>
    <w:rsid w:val="00ED400D"/>
    <w:rsid w:val="00ED45F6"/>
    <w:rsid w:val="00ED6574"/>
    <w:rsid w:val="00ED6B87"/>
    <w:rsid w:val="00ED6EF0"/>
    <w:rsid w:val="00EE1FFE"/>
    <w:rsid w:val="00EE2F48"/>
    <w:rsid w:val="00EE353E"/>
    <w:rsid w:val="00EE4B74"/>
    <w:rsid w:val="00EE4EDB"/>
    <w:rsid w:val="00EE5951"/>
    <w:rsid w:val="00EE5F89"/>
    <w:rsid w:val="00EE6A0B"/>
    <w:rsid w:val="00EE7D28"/>
    <w:rsid w:val="00EF02F8"/>
    <w:rsid w:val="00EF31B3"/>
    <w:rsid w:val="00EF4E88"/>
    <w:rsid w:val="00EF56E3"/>
    <w:rsid w:val="00EF62D5"/>
    <w:rsid w:val="00EF632E"/>
    <w:rsid w:val="00EF7EA0"/>
    <w:rsid w:val="00F01279"/>
    <w:rsid w:val="00F01598"/>
    <w:rsid w:val="00F01D32"/>
    <w:rsid w:val="00F01D97"/>
    <w:rsid w:val="00F026FF"/>
    <w:rsid w:val="00F03A1E"/>
    <w:rsid w:val="00F0494E"/>
    <w:rsid w:val="00F04EC4"/>
    <w:rsid w:val="00F05B2B"/>
    <w:rsid w:val="00F06052"/>
    <w:rsid w:val="00F0648A"/>
    <w:rsid w:val="00F06A3B"/>
    <w:rsid w:val="00F11D20"/>
    <w:rsid w:val="00F12482"/>
    <w:rsid w:val="00F13528"/>
    <w:rsid w:val="00F1430D"/>
    <w:rsid w:val="00F158A2"/>
    <w:rsid w:val="00F160C5"/>
    <w:rsid w:val="00F17F74"/>
    <w:rsid w:val="00F21479"/>
    <w:rsid w:val="00F23501"/>
    <w:rsid w:val="00F23798"/>
    <w:rsid w:val="00F23E81"/>
    <w:rsid w:val="00F248F1"/>
    <w:rsid w:val="00F25682"/>
    <w:rsid w:val="00F25F29"/>
    <w:rsid w:val="00F26566"/>
    <w:rsid w:val="00F27A16"/>
    <w:rsid w:val="00F30245"/>
    <w:rsid w:val="00F30FA2"/>
    <w:rsid w:val="00F31DAA"/>
    <w:rsid w:val="00F328BE"/>
    <w:rsid w:val="00F33662"/>
    <w:rsid w:val="00F33B25"/>
    <w:rsid w:val="00F35573"/>
    <w:rsid w:val="00F362CC"/>
    <w:rsid w:val="00F36F95"/>
    <w:rsid w:val="00F42BB8"/>
    <w:rsid w:val="00F4452E"/>
    <w:rsid w:val="00F44C62"/>
    <w:rsid w:val="00F44F33"/>
    <w:rsid w:val="00F45213"/>
    <w:rsid w:val="00F456C5"/>
    <w:rsid w:val="00F458D3"/>
    <w:rsid w:val="00F45A54"/>
    <w:rsid w:val="00F45CBB"/>
    <w:rsid w:val="00F46084"/>
    <w:rsid w:val="00F476F7"/>
    <w:rsid w:val="00F47A54"/>
    <w:rsid w:val="00F51E46"/>
    <w:rsid w:val="00F51EE9"/>
    <w:rsid w:val="00F5327A"/>
    <w:rsid w:val="00F53C7C"/>
    <w:rsid w:val="00F54116"/>
    <w:rsid w:val="00F5593E"/>
    <w:rsid w:val="00F60201"/>
    <w:rsid w:val="00F61E50"/>
    <w:rsid w:val="00F6279D"/>
    <w:rsid w:val="00F62F28"/>
    <w:rsid w:val="00F640A1"/>
    <w:rsid w:val="00F64116"/>
    <w:rsid w:val="00F65FF7"/>
    <w:rsid w:val="00F66999"/>
    <w:rsid w:val="00F66A58"/>
    <w:rsid w:val="00F67B9D"/>
    <w:rsid w:val="00F67BE8"/>
    <w:rsid w:val="00F67DC1"/>
    <w:rsid w:val="00F70AE5"/>
    <w:rsid w:val="00F70ED6"/>
    <w:rsid w:val="00F721EB"/>
    <w:rsid w:val="00F7224D"/>
    <w:rsid w:val="00F72317"/>
    <w:rsid w:val="00F73A40"/>
    <w:rsid w:val="00F73D75"/>
    <w:rsid w:val="00F74587"/>
    <w:rsid w:val="00F74745"/>
    <w:rsid w:val="00F74B17"/>
    <w:rsid w:val="00F74CD7"/>
    <w:rsid w:val="00F75515"/>
    <w:rsid w:val="00F75967"/>
    <w:rsid w:val="00F75E34"/>
    <w:rsid w:val="00F761B2"/>
    <w:rsid w:val="00F76512"/>
    <w:rsid w:val="00F76974"/>
    <w:rsid w:val="00F76B32"/>
    <w:rsid w:val="00F7731E"/>
    <w:rsid w:val="00F77352"/>
    <w:rsid w:val="00F77413"/>
    <w:rsid w:val="00F7756F"/>
    <w:rsid w:val="00F77B3F"/>
    <w:rsid w:val="00F80150"/>
    <w:rsid w:val="00F8017B"/>
    <w:rsid w:val="00F80647"/>
    <w:rsid w:val="00F80655"/>
    <w:rsid w:val="00F82AE6"/>
    <w:rsid w:val="00F8415A"/>
    <w:rsid w:val="00F84775"/>
    <w:rsid w:val="00F847BC"/>
    <w:rsid w:val="00F84A57"/>
    <w:rsid w:val="00F84B87"/>
    <w:rsid w:val="00F85581"/>
    <w:rsid w:val="00F85693"/>
    <w:rsid w:val="00F867F3"/>
    <w:rsid w:val="00F86D75"/>
    <w:rsid w:val="00F87219"/>
    <w:rsid w:val="00F9156E"/>
    <w:rsid w:val="00F926F8"/>
    <w:rsid w:val="00F92A1E"/>
    <w:rsid w:val="00F9434E"/>
    <w:rsid w:val="00FA054E"/>
    <w:rsid w:val="00FA19F4"/>
    <w:rsid w:val="00FA1C08"/>
    <w:rsid w:val="00FA1CA5"/>
    <w:rsid w:val="00FA1E36"/>
    <w:rsid w:val="00FA20CE"/>
    <w:rsid w:val="00FA2235"/>
    <w:rsid w:val="00FA26C5"/>
    <w:rsid w:val="00FA4202"/>
    <w:rsid w:val="00FA512C"/>
    <w:rsid w:val="00FA5221"/>
    <w:rsid w:val="00FA522B"/>
    <w:rsid w:val="00FA6161"/>
    <w:rsid w:val="00FB0677"/>
    <w:rsid w:val="00FB10BF"/>
    <w:rsid w:val="00FB15B0"/>
    <w:rsid w:val="00FB2816"/>
    <w:rsid w:val="00FB39B2"/>
    <w:rsid w:val="00FB3FA0"/>
    <w:rsid w:val="00FB44AB"/>
    <w:rsid w:val="00FB462A"/>
    <w:rsid w:val="00FB53C3"/>
    <w:rsid w:val="00FB57AE"/>
    <w:rsid w:val="00FB60A6"/>
    <w:rsid w:val="00FB61AC"/>
    <w:rsid w:val="00FB7B45"/>
    <w:rsid w:val="00FB7B4A"/>
    <w:rsid w:val="00FB7DEE"/>
    <w:rsid w:val="00FC01B1"/>
    <w:rsid w:val="00FC0E63"/>
    <w:rsid w:val="00FC2D89"/>
    <w:rsid w:val="00FC3460"/>
    <w:rsid w:val="00FC4336"/>
    <w:rsid w:val="00FC5501"/>
    <w:rsid w:val="00FC5AA8"/>
    <w:rsid w:val="00FC62C9"/>
    <w:rsid w:val="00FC6D60"/>
    <w:rsid w:val="00FC6DB4"/>
    <w:rsid w:val="00FC6F23"/>
    <w:rsid w:val="00FC7696"/>
    <w:rsid w:val="00FC7E90"/>
    <w:rsid w:val="00FD001B"/>
    <w:rsid w:val="00FD039C"/>
    <w:rsid w:val="00FD09FE"/>
    <w:rsid w:val="00FD1A03"/>
    <w:rsid w:val="00FD2C40"/>
    <w:rsid w:val="00FD34C2"/>
    <w:rsid w:val="00FD362B"/>
    <w:rsid w:val="00FD3794"/>
    <w:rsid w:val="00FD7657"/>
    <w:rsid w:val="00FE022F"/>
    <w:rsid w:val="00FE1E6F"/>
    <w:rsid w:val="00FE1EC5"/>
    <w:rsid w:val="00FE23DA"/>
    <w:rsid w:val="00FE35E4"/>
    <w:rsid w:val="00FE3634"/>
    <w:rsid w:val="00FE36F2"/>
    <w:rsid w:val="00FE4B61"/>
    <w:rsid w:val="00FE4C0C"/>
    <w:rsid w:val="00FE4E2D"/>
    <w:rsid w:val="00FE5306"/>
    <w:rsid w:val="00FE64B2"/>
    <w:rsid w:val="00FE6632"/>
    <w:rsid w:val="00FF0093"/>
    <w:rsid w:val="00FF05C5"/>
    <w:rsid w:val="00FF163C"/>
    <w:rsid w:val="00FF189F"/>
    <w:rsid w:val="00FF1F3F"/>
    <w:rsid w:val="00FF329C"/>
    <w:rsid w:val="00FF379D"/>
    <w:rsid w:val="00FF43E4"/>
    <w:rsid w:val="00FF4874"/>
    <w:rsid w:val="00FF5D21"/>
    <w:rsid w:val="00FF722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2" style="mso-position-horizontal-relative:page;mso-position-vertical-relative:page" strokecolor="none [3215]">
      <v:stroke color="none [3215]" weight="1pt"/>
    </o:shapedefaults>
    <o:shapelayout v:ext="edit">
      <o:idmap v:ext="edit" data="1"/>
    </o:shapelayout>
  </w:shapeDefaults>
  <w:decimalSymbol w:val="."/>
  <w:listSeparator w:val=","/>
  <w14:docId w14:val="3E9B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D009F"/>
    <w:rPr>
      <w:lang w:val="en-GB"/>
    </w:rPr>
  </w:style>
  <w:style w:type="paragraph" w:styleId="Heading1">
    <w:name w:val="heading 1"/>
    <w:basedOn w:val="Normal"/>
    <w:next w:val="Normal"/>
    <w:link w:val="Heading1Char"/>
    <w:uiPriority w:val="9"/>
    <w:qFormat/>
    <w:rsid w:val="004B6993"/>
    <w:pPr>
      <w:keepNext/>
      <w:keepLines/>
      <w:spacing w:before="480"/>
      <w:outlineLvl w:val="0"/>
    </w:pPr>
    <w:rPr>
      <w:rFonts w:asciiTheme="majorHAnsi" w:eastAsiaTheme="majorEastAsia" w:hAnsiTheme="majorHAnsi" w:cstheme="majorBidi"/>
      <w:b/>
      <w:bCs/>
      <w:color w:val="4244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link w:val="textregularZchn"/>
    <w:qFormat/>
    <w:rsid w:val="00916ABB"/>
    <w:pPr>
      <w:spacing w:after="120"/>
      <w:jc w:val="both"/>
    </w:pPr>
  </w:style>
  <w:style w:type="paragraph" w:styleId="Header">
    <w:name w:val="header"/>
    <w:basedOn w:val="Normal"/>
    <w:link w:val="HeaderChar"/>
    <w:uiPriority w:val="99"/>
    <w:unhideWhenUsed/>
    <w:rsid w:val="00B04144"/>
    <w:pPr>
      <w:tabs>
        <w:tab w:val="center" w:pos="4536"/>
        <w:tab w:val="right" w:pos="9072"/>
      </w:tabs>
    </w:pPr>
  </w:style>
  <w:style w:type="character" w:customStyle="1" w:styleId="HeaderChar">
    <w:name w:val="Header Char"/>
    <w:basedOn w:val="DefaultParagraphFont"/>
    <w:link w:val="Header"/>
    <w:uiPriority w:val="99"/>
    <w:rsid w:val="00B04144"/>
  </w:style>
  <w:style w:type="paragraph" w:styleId="Footer">
    <w:name w:val="footer"/>
    <w:basedOn w:val="Normal"/>
    <w:link w:val="FooterChar"/>
    <w:uiPriority w:val="99"/>
    <w:rsid w:val="00B04144"/>
    <w:pPr>
      <w:tabs>
        <w:tab w:val="center" w:pos="4536"/>
        <w:tab w:val="right" w:pos="9072"/>
      </w:tabs>
    </w:pPr>
  </w:style>
  <w:style w:type="character" w:customStyle="1" w:styleId="FooterChar">
    <w:name w:val="Footer Char"/>
    <w:basedOn w:val="DefaultParagraphFont"/>
    <w:link w:val="Footer"/>
    <w:uiPriority w:val="99"/>
    <w:rsid w:val="00CD009F"/>
    <w:rPr>
      <w:lang w:val="en-GB"/>
    </w:rPr>
  </w:style>
  <w:style w:type="paragraph" w:styleId="BalloonText">
    <w:name w:val="Balloon Text"/>
    <w:basedOn w:val="Normal"/>
    <w:link w:val="BalloonTextChar"/>
    <w:uiPriority w:val="99"/>
    <w:semiHidden/>
    <w:unhideWhenUsed/>
    <w:rsid w:val="00B04144"/>
    <w:rPr>
      <w:rFonts w:ascii="Tahoma" w:hAnsi="Tahoma" w:cs="Tahoma"/>
      <w:sz w:val="16"/>
      <w:szCs w:val="16"/>
    </w:rPr>
  </w:style>
  <w:style w:type="character" w:customStyle="1" w:styleId="BalloonTextChar">
    <w:name w:val="Balloon Text Char"/>
    <w:basedOn w:val="DefaultParagraphFont"/>
    <w:link w:val="BalloonText"/>
    <w:uiPriority w:val="99"/>
    <w:semiHidden/>
    <w:rsid w:val="00B04144"/>
    <w:rPr>
      <w:rFonts w:ascii="Tahoma" w:hAnsi="Tahoma" w:cs="Tahoma"/>
      <w:sz w:val="16"/>
      <w:szCs w:val="16"/>
    </w:rPr>
  </w:style>
  <w:style w:type="paragraph" w:customStyle="1" w:styleId="headlineheader">
    <w:name w:val="headline header"/>
    <w:basedOn w:val="textregular"/>
    <w:uiPriority w:val="1"/>
    <w:qFormat/>
    <w:rsid w:val="001A1FAB"/>
    <w:pPr>
      <w:framePr w:hSpace="142" w:vSpace="5528" w:wrap="around" w:vAnchor="page" w:hAnchor="page" w:x="1362" w:y="5104"/>
      <w:spacing w:before="100" w:beforeAutospacing="1" w:after="100" w:afterAutospacing="1" w:line="276" w:lineRule="auto"/>
      <w:jc w:val="center"/>
    </w:pPr>
    <w:rPr>
      <w:rFonts w:asciiTheme="majorHAnsi" w:hAnsiTheme="majorHAnsi" w:cstheme="minorHAnsi"/>
      <w:b/>
      <w:color w:val="000000" w:themeColor="text1"/>
      <w:sz w:val="36"/>
      <w:szCs w:val="36"/>
    </w:rPr>
  </w:style>
  <w:style w:type="paragraph" w:customStyle="1" w:styleId="textheader">
    <w:name w:val="text header"/>
    <w:basedOn w:val="textregular"/>
    <w:uiPriority w:val="1"/>
    <w:qFormat/>
    <w:rsid w:val="00B30D59"/>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uiPriority w:val="1"/>
    <w:qFormat/>
    <w:rsid w:val="001A1FAB"/>
    <w:pPr>
      <w:framePr w:hSpace="142" w:vSpace="5528" w:wrap="around" w:vAnchor="page" w:hAnchor="page" w:x="1362" w:y="5104"/>
      <w:spacing w:before="100" w:beforeAutospacing="1" w:after="100" w:afterAutospacing="1" w:line="276" w:lineRule="auto"/>
    </w:pPr>
    <w:rPr>
      <w:rFonts w:cstheme="minorHAnsi"/>
      <w:color w:val="000000" w:themeColor="text1"/>
      <w:sz w:val="29"/>
      <w:szCs w:val="29"/>
    </w:rPr>
  </w:style>
  <w:style w:type="character" w:styleId="PlaceholderText">
    <w:name w:val="Placeholder Text"/>
    <w:basedOn w:val="DefaultParagraphFont"/>
    <w:uiPriority w:val="99"/>
    <w:semiHidden/>
    <w:rsid w:val="00903B95"/>
    <w:rPr>
      <w:color w:val="808080"/>
    </w:rPr>
  </w:style>
  <w:style w:type="paragraph" w:customStyle="1" w:styleId="headline1">
    <w:name w:val="headline 1"/>
    <w:basedOn w:val="textregular"/>
    <w:uiPriority w:val="2"/>
    <w:qFormat/>
    <w:rsid w:val="00F45213"/>
    <w:pPr>
      <w:numPr>
        <w:numId w:val="12"/>
      </w:numPr>
      <w:spacing w:line="276" w:lineRule="auto"/>
      <w:ind w:left="1418"/>
      <w:jc w:val="center"/>
      <w:outlineLvl w:val="0"/>
    </w:pPr>
    <w:rPr>
      <w:rFonts w:ascii="Times New Roman" w:hAnsi="Times New Roman" w:cstheme="majorHAnsi"/>
      <w:b/>
      <w:color w:val="23236E" w:themeColor="text2"/>
      <w:sz w:val="24"/>
      <w:szCs w:val="28"/>
    </w:rPr>
  </w:style>
  <w:style w:type="numbering" w:customStyle="1" w:styleId="XXXList">
    <w:name w:val="XXX_List"/>
    <w:basedOn w:val="NoList"/>
    <w:uiPriority w:val="99"/>
    <w:rsid w:val="00D9486F"/>
    <w:pPr>
      <w:numPr>
        <w:numId w:val="1"/>
      </w:numPr>
    </w:pPr>
  </w:style>
  <w:style w:type="character" w:customStyle="1" w:styleId="Heading1Char">
    <w:name w:val="Heading 1 Char"/>
    <w:basedOn w:val="DefaultParagraphFont"/>
    <w:link w:val="Heading1"/>
    <w:uiPriority w:val="9"/>
    <w:rsid w:val="004B6993"/>
    <w:rPr>
      <w:rFonts w:asciiTheme="majorHAnsi" w:eastAsiaTheme="majorEastAsia" w:hAnsiTheme="majorHAnsi" w:cstheme="majorBidi"/>
      <w:b/>
      <w:bCs/>
      <w:color w:val="424477" w:themeColor="accent1" w:themeShade="BF"/>
      <w:sz w:val="28"/>
      <w:szCs w:val="28"/>
    </w:rPr>
  </w:style>
  <w:style w:type="paragraph" w:styleId="TOC1">
    <w:name w:val="toc 1"/>
    <w:basedOn w:val="Normal"/>
    <w:next w:val="Normal"/>
    <w:autoRedefine/>
    <w:uiPriority w:val="39"/>
    <w:unhideWhenUsed/>
    <w:rsid w:val="00621D38"/>
    <w:pPr>
      <w:tabs>
        <w:tab w:val="left" w:pos="1100"/>
        <w:tab w:val="right" w:leader="dot" w:pos="9514"/>
      </w:tabs>
      <w:spacing w:after="120" w:line="276" w:lineRule="auto"/>
    </w:pPr>
    <w:rPr>
      <w:rFonts w:asciiTheme="majorHAnsi" w:hAnsiTheme="majorHAnsi"/>
    </w:rPr>
  </w:style>
  <w:style w:type="paragraph" w:styleId="TOCHeading">
    <w:name w:val="TOC Heading"/>
    <w:basedOn w:val="Heading1"/>
    <w:next w:val="Normal"/>
    <w:uiPriority w:val="39"/>
    <w:unhideWhenUsed/>
    <w:qFormat/>
    <w:rsid w:val="004B6993"/>
    <w:pPr>
      <w:spacing w:line="276" w:lineRule="auto"/>
      <w:outlineLvl w:val="9"/>
    </w:pPr>
  </w:style>
  <w:style w:type="character" w:styleId="Hyperlink">
    <w:name w:val="Hyperlink"/>
    <w:basedOn w:val="DefaultParagraphFont"/>
    <w:uiPriority w:val="99"/>
    <w:rsid w:val="0099378F"/>
    <w:rPr>
      <w:color w:val="0000FF" w:themeColor="hyperlink"/>
      <w:u w:val="single"/>
    </w:rPr>
  </w:style>
  <w:style w:type="paragraph" w:customStyle="1" w:styleId="decisionhead">
    <w:name w:val="decision head"/>
    <w:basedOn w:val="textregular"/>
    <w:uiPriority w:val="3"/>
    <w:qFormat/>
    <w:rsid w:val="00CD009F"/>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szCs w:val="24"/>
    </w:rPr>
  </w:style>
  <w:style w:type="numbering" w:customStyle="1" w:styleId="XXXBulletList">
    <w:name w:val="XXX_Bullet List"/>
    <w:basedOn w:val="NoList"/>
    <w:uiPriority w:val="99"/>
    <w:rsid w:val="00590A19"/>
    <w:pPr>
      <w:numPr>
        <w:numId w:val="2"/>
      </w:numPr>
    </w:pPr>
  </w:style>
  <w:style w:type="paragraph" w:customStyle="1" w:styleId="decisionbullet1">
    <w:name w:val="decision bullet 1"/>
    <w:basedOn w:val="textregular"/>
    <w:uiPriority w:val="4"/>
    <w:qFormat/>
    <w:rsid w:val="00CD009F"/>
    <w:pPr>
      <w:numPr>
        <w:numId w:val="2"/>
      </w:num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left="499" w:right="170"/>
    </w:pPr>
  </w:style>
  <w:style w:type="paragraph" w:customStyle="1" w:styleId="decisionbullet2">
    <w:name w:val="decision bullet 2"/>
    <w:basedOn w:val="textregular"/>
    <w:uiPriority w:val="4"/>
    <w:qFormat/>
    <w:rsid w:val="00B30D59"/>
    <w:pPr>
      <w:numPr>
        <w:ilvl w:val="1"/>
        <w:numId w:val="2"/>
      </w:num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left="851" w:right="170" w:hanging="369"/>
    </w:pPr>
  </w:style>
  <w:style w:type="paragraph" w:customStyle="1" w:styleId="headline3">
    <w:name w:val="headline 3"/>
    <w:basedOn w:val="textregular"/>
    <w:uiPriority w:val="2"/>
    <w:qFormat/>
    <w:rsid w:val="000F693C"/>
    <w:pPr>
      <w:spacing w:after="20"/>
      <w:outlineLvl w:val="2"/>
    </w:pPr>
    <w:rPr>
      <w:b/>
    </w:rPr>
  </w:style>
  <w:style w:type="numbering" w:customStyle="1" w:styleId="XXXNummerierung">
    <w:name w:val="XXX_Nummerierung"/>
    <w:basedOn w:val="NoList"/>
    <w:uiPriority w:val="99"/>
    <w:rsid w:val="00E7480B"/>
    <w:pPr>
      <w:numPr>
        <w:numId w:val="41"/>
      </w:numPr>
    </w:pPr>
  </w:style>
  <w:style w:type="paragraph" w:customStyle="1" w:styleId="textenumeration">
    <w:name w:val="text enumeration"/>
    <w:basedOn w:val="textregular"/>
    <w:uiPriority w:val="4"/>
    <w:qFormat/>
    <w:rsid w:val="00E7480B"/>
    <w:pPr>
      <w:numPr>
        <w:numId w:val="3"/>
      </w:numPr>
      <w:contextualSpacing/>
    </w:pPr>
  </w:style>
  <w:style w:type="paragraph" w:customStyle="1" w:styleId="headline2">
    <w:name w:val="headline 2"/>
    <w:basedOn w:val="textregular"/>
    <w:uiPriority w:val="2"/>
    <w:qFormat/>
    <w:rsid w:val="003F4045"/>
    <w:pPr>
      <w:spacing w:line="260" w:lineRule="exact"/>
      <w:jc w:val="center"/>
      <w:outlineLvl w:val="1"/>
    </w:pPr>
    <w:rPr>
      <w:rFonts w:ascii="Times New Roman" w:hAnsi="Times New Roman" w:cstheme="majorHAnsi"/>
      <w:b/>
      <w:color w:val="23236E" w:themeColor="text2"/>
      <w:sz w:val="24"/>
      <w:szCs w:val="24"/>
    </w:rPr>
  </w:style>
  <w:style w:type="numbering" w:customStyle="1" w:styleId="XXXtextbullets">
    <w:name w:val="XXX_text bullets"/>
    <w:basedOn w:val="NoList"/>
    <w:uiPriority w:val="99"/>
    <w:rsid w:val="000961F8"/>
    <w:pPr>
      <w:numPr>
        <w:numId w:val="4"/>
      </w:numPr>
    </w:pPr>
  </w:style>
  <w:style w:type="paragraph" w:customStyle="1" w:styleId="textbullets">
    <w:name w:val="text bullets"/>
    <w:basedOn w:val="textregular"/>
    <w:uiPriority w:val="5"/>
    <w:qFormat/>
    <w:rsid w:val="000961F8"/>
    <w:pPr>
      <w:numPr>
        <w:numId w:val="4"/>
      </w:numPr>
      <w:contextualSpacing/>
    </w:pPr>
  </w:style>
  <w:style w:type="table" w:customStyle="1" w:styleId="EntsoeeinfacheTabelle">
    <w:name w:val="Entsoe | einfache Tabelle"/>
    <w:basedOn w:val="TableNormal"/>
    <w:uiPriority w:val="99"/>
    <w:qFormat/>
    <w:rsid w:val="00922A3D"/>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7E6984"/>
    <w:pPr>
      <w:pBdr>
        <w:top w:val="single" w:sz="8" w:space="11" w:color="auto"/>
      </w:pBdr>
      <w:spacing w:after="0"/>
    </w:pPr>
    <w:rPr>
      <w:sz w:val="19"/>
    </w:rPr>
  </w:style>
  <w:style w:type="paragraph" w:customStyle="1" w:styleId="footnote2">
    <w:name w:val="footnote 2"/>
    <w:basedOn w:val="textregular"/>
    <w:uiPriority w:val="6"/>
    <w:qFormat/>
    <w:rsid w:val="007E6984"/>
    <w:pPr>
      <w:spacing w:after="0"/>
    </w:pPr>
    <w:rPr>
      <w:sz w:val="19"/>
    </w:rPr>
  </w:style>
  <w:style w:type="paragraph" w:styleId="TOC3">
    <w:name w:val="toc 3"/>
    <w:basedOn w:val="Normal"/>
    <w:next w:val="Normal"/>
    <w:autoRedefine/>
    <w:uiPriority w:val="39"/>
    <w:unhideWhenUsed/>
    <w:rsid w:val="000F693C"/>
    <w:pPr>
      <w:spacing w:after="100"/>
      <w:ind w:left="440"/>
    </w:pPr>
  </w:style>
  <w:style w:type="paragraph" w:styleId="TOC2">
    <w:name w:val="toc 2"/>
    <w:basedOn w:val="Normal"/>
    <w:next w:val="Normal"/>
    <w:autoRedefine/>
    <w:uiPriority w:val="39"/>
    <w:unhideWhenUsed/>
    <w:rsid w:val="000F693C"/>
    <w:pPr>
      <w:spacing w:after="100"/>
      <w:ind w:left="220"/>
    </w:pPr>
  </w:style>
  <w:style w:type="character" w:styleId="CommentReference">
    <w:name w:val="annotation reference"/>
    <w:basedOn w:val="DefaultParagraphFont"/>
    <w:uiPriority w:val="99"/>
    <w:semiHidden/>
    <w:unhideWhenUsed/>
    <w:rsid w:val="00E377D1"/>
    <w:rPr>
      <w:sz w:val="16"/>
      <w:szCs w:val="16"/>
    </w:rPr>
  </w:style>
  <w:style w:type="paragraph" w:styleId="CommentText">
    <w:name w:val="annotation text"/>
    <w:basedOn w:val="Normal"/>
    <w:link w:val="CommentTextChar"/>
    <w:uiPriority w:val="99"/>
    <w:unhideWhenUsed/>
    <w:rsid w:val="00E377D1"/>
    <w:rPr>
      <w:sz w:val="20"/>
      <w:szCs w:val="20"/>
    </w:rPr>
  </w:style>
  <w:style w:type="character" w:customStyle="1" w:styleId="CommentTextChar">
    <w:name w:val="Comment Text Char"/>
    <w:basedOn w:val="DefaultParagraphFont"/>
    <w:link w:val="CommentText"/>
    <w:uiPriority w:val="99"/>
    <w:rsid w:val="00E377D1"/>
    <w:rPr>
      <w:sz w:val="20"/>
      <w:szCs w:val="20"/>
      <w:lang w:val="en-GB"/>
    </w:rPr>
  </w:style>
  <w:style w:type="paragraph" w:styleId="Title">
    <w:name w:val="Title"/>
    <w:basedOn w:val="Normal"/>
    <w:next w:val="Normal"/>
    <w:link w:val="TitleChar"/>
    <w:uiPriority w:val="10"/>
    <w:qFormat/>
    <w:rsid w:val="00E377D1"/>
    <w:pPr>
      <w:contextualSpacing/>
    </w:pPr>
    <w:rPr>
      <w:rFonts w:asciiTheme="majorHAnsi" w:eastAsiaTheme="majorEastAsia" w:hAnsiTheme="majorHAnsi" w:cstheme="majorBidi"/>
      <w:spacing w:val="-10"/>
      <w:kern w:val="28"/>
      <w:sz w:val="56"/>
      <w:szCs w:val="56"/>
      <w:lang w:val="fi-FI"/>
    </w:rPr>
  </w:style>
  <w:style w:type="character" w:customStyle="1" w:styleId="TitleChar">
    <w:name w:val="Title Char"/>
    <w:basedOn w:val="DefaultParagraphFont"/>
    <w:link w:val="Title"/>
    <w:uiPriority w:val="10"/>
    <w:rsid w:val="00E377D1"/>
    <w:rPr>
      <w:rFonts w:asciiTheme="majorHAnsi" w:eastAsiaTheme="majorEastAsia" w:hAnsiTheme="majorHAnsi" w:cstheme="majorBidi"/>
      <w:spacing w:val="-10"/>
      <w:kern w:val="28"/>
      <w:sz w:val="56"/>
      <w:szCs w:val="56"/>
      <w:lang w:val="fi-FI"/>
    </w:rPr>
  </w:style>
  <w:style w:type="paragraph" w:styleId="FootnoteText">
    <w:name w:val="footnote text"/>
    <w:aliases w:val="footnotes"/>
    <w:basedOn w:val="Normal"/>
    <w:link w:val="FootnoteTextChar"/>
    <w:uiPriority w:val="99"/>
    <w:unhideWhenUsed/>
    <w:rsid w:val="006A737C"/>
    <w:rPr>
      <w:sz w:val="20"/>
      <w:szCs w:val="20"/>
    </w:rPr>
  </w:style>
  <w:style w:type="character" w:customStyle="1" w:styleId="FootnoteTextChar">
    <w:name w:val="Footnote Text Char"/>
    <w:aliases w:val="footnotes Char"/>
    <w:basedOn w:val="DefaultParagraphFont"/>
    <w:link w:val="FootnoteText"/>
    <w:uiPriority w:val="99"/>
    <w:rsid w:val="006A737C"/>
    <w:rPr>
      <w:sz w:val="20"/>
      <w:szCs w:val="20"/>
      <w:lang w:val="en-GB"/>
    </w:rPr>
  </w:style>
  <w:style w:type="character" w:styleId="FootnoteReference">
    <w:name w:val="footnote reference"/>
    <w:basedOn w:val="DefaultParagraphFont"/>
    <w:uiPriority w:val="99"/>
    <w:semiHidden/>
    <w:unhideWhenUsed/>
    <w:rsid w:val="006A737C"/>
    <w:rPr>
      <w:vertAlign w:val="superscript"/>
    </w:rPr>
  </w:style>
  <w:style w:type="paragraph" w:styleId="CommentSubject">
    <w:name w:val="annotation subject"/>
    <w:basedOn w:val="CommentText"/>
    <w:next w:val="CommentText"/>
    <w:link w:val="CommentSubjectChar"/>
    <w:uiPriority w:val="99"/>
    <w:semiHidden/>
    <w:unhideWhenUsed/>
    <w:rsid w:val="006A737C"/>
    <w:pPr>
      <w:spacing w:after="160"/>
    </w:pPr>
    <w:rPr>
      <w:b/>
      <w:bCs/>
      <w:lang w:val="fi-FI"/>
    </w:rPr>
  </w:style>
  <w:style w:type="character" w:customStyle="1" w:styleId="CommentSubjectChar">
    <w:name w:val="Comment Subject Char"/>
    <w:basedOn w:val="CommentTextChar"/>
    <w:link w:val="CommentSubject"/>
    <w:uiPriority w:val="99"/>
    <w:semiHidden/>
    <w:rsid w:val="006A737C"/>
    <w:rPr>
      <w:b/>
      <w:bCs/>
      <w:sz w:val="20"/>
      <w:szCs w:val="20"/>
      <w:lang w:val="fi-FI"/>
    </w:rPr>
  </w:style>
  <w:style w:type="character" w:customStyle="1" w:styleId="KommentintekstiChar">
    <w:name w:val="Kommentin teksti Char"/>
    <w:basedOn w:val="DefaultParagraphFont"/>
    <w:uiPriority w:val="99"/>
    <w:rsid w:val="006A737C"/>
    <w:rPr>
      <w:sz w:val="20"/>
      <w:szCs w:val="20"/>
    </w:rPr>
  </w:style>
  <w:style w:type="paragraph" w:styleId="ListParagraph">
    <w:name w:val="List Paragraph"/>
    <w:aliases w:val="Odstavec1,Puce"/>
    <w:basedOn w:val="Normal"/>
    <w:link w:val="ListParagraphChar"/>
    <w:uiPriority w:val="34"/>
    <w:qFormat/>
    <w:rsid w:val="004038AE"/>
    <w:pPr>
      <w:spacing w:after="160" w:line="259" w:lineRule="auto"/>
      <w:ind w:left="720"/>
      <w:contextualSpacing/>
      <w:jc w:val="both"/>
    </w:pPr>
    <w:rPr>
      <w:lang w:val="fi-FI"/>
    </w:rPr>
  </w:style>
  <w:style w:type="paragraph" w:customStyle="1" w:styleId="Default">
    <w:name w:val="Default"/>
    <w:rsid w:val="006A737C"/>
    <w:pPr>
      <w:autoSpaceDE w:val="0"/>
      <w:autoSpaceDN w:val="0"/>
      <w:adjustRightInd w:val="0"/>
    </w:pPr>
    <w:rPr>
      <w:rFonts w:ascii="EUAlbertina" w:hAnsi="EUAlbertina" w:cs="EUAlbertina"/>
      <w:color w:val="000000"/>
      <w:sz w:val="24"/>
      <w:szCs w:val="24"/>
      <w:lang w:val="de-AT"/>
    </w:rPr>
  </w:style>
  <w:style w:type="character" w:customStyle="1" w:styleId="AlaviitteentekstiChar">
    <w:name w:val="Alaviitteen teksti Char"/>
    <w:basedOn w:val="DefaultParagraphFont"/>
    <w:uiPriority w:val="99"/>
    <w:semiHidden/>
    <w:rsid w:val="006A737C"/>
    <w:rPr>
      <w:sz w:val="20"/>
      <w:szCs w:val="20"/>
    </w:rPr>
  </w:style>
  <w:style w:type="character" w:customStyle="1" w:styleId="descriptionid1siteid2571">
    <w:name w:val="descriptionid1siteid2571"/>
    <w:basedOn w:val="DefaultParagraphFont"/>
    <w:rsid w:val="006A737C"/>
    <w:rPr>
      <w:rFonts w:ascii="Arial" w:hAnsi="Arial" w:cs="Arial" w:hint="default"/>
      <w:color w:val="666666"/>
      <w:sz w:val="18"/>
      <w:szCs w:val="18"/>
    </w:rPr>
  </w:style>
  <w:style w:type="paragraph" w:customStyle="1" w:styleId="Normln1">
    <w:name w:val="Normální1"/>
    <w:aliases w:val="ČEPS Arial"/>
    <w:basedOn w:val="Normal"/>
    <w:rsid w:val="006A737C"/>
    <w:rPr>
      <w:rFonts w:ascii="Calibri" w:hAnsi="Calibri" w:cs="Times New Roman"/>
      <w:lang w:val="pl-PL"/>
    </w:rPr>
  </w:style>
  <w:style w:type="character" w:styleId="FollowedHyperlink">
    <w:name w:val="FollowedHyperlink"/>
    <w:basedOn w:val="DefaultParagraphFont"/>
    <w:uiPriority w:val="99"/>
    <w:semiHidden/>
    <w:unhideWhenUsed/>
    <w:rsid w:val="006A737C"/>
    <w:rPr>
      <w:color w:val="800080" w:themeColor="followedHyperlink"/>
      <w:u w:val="single"/>
    </w:rPr>
  </w:style>
  <w:style w:type="paragraph" w:styleId="Revision">
    <w:name w:val="Revision"/>
    <w:hidden/>
    <w:uiPriority w:val="99"/>
    <w:semiHidden/>
    <w:rsid w:val="006A737C"/>
    <w:rPr>
      <w:lang w:val="fi-FI"/>
    </w:rPr>
  </w:style>
  <w:style w:type="character" w:customStyle="1" w:styleId="textregularZchn">
    <w:name w:val="text regular Zchn"/>
    <w:basedOn w:val="DefaultParagraphFont"/>
    <w:link w:val="textregular"/>
    <w:locked/>
    <w:rsid w:val="00916ABB"/>
    <w:rPr>
      <w:lang w:val="en-GB"/>
    </w:rPr>
  </w:style>
  <w:style w:type="paragraph" w:styleId="NormalWeb">
    <w:name w:val="Normal (Web)"/>
    <w:basedOn w:val="Normal"/>
    <w:uiPriority w:val="99"/>
    <w:unhideWhenUsed/>
    <w:rsid w:val="007C72F1"/>
    <w:pPr>
      <w:spacing w:before="100" w:beforeAutospacing="1" w:after="100" w:afterAutospacing="1"/>
    </w:pPr>
    <w:rPr>
      <w:rFonts w:ascii="Times New Roman" w:eastAsia="Times New Roman" w:hAnsi="Times New Roman" w:cs="Times New Roman"/>
      <w:sz w:val="24"/>
      <w:szCs w:val="24"/>
      <w:lang w:val="en-US"/>
    </w:rPr>
  </w:style>
  <w:style w:type="character" w:customStyle="1" w:styleId="ListParagraphChar">
    <w:name w:val="List Paragraph Char"/>
    <w:aliases w:val="Odstavec1 Char,Puce Char"/>
    <w:basedOn w:val="DefaultParagraphFont"/>
    <w:link w:val="ListParagraph"/>
    <w:uiPriority w:val="34"/>
    <w:locked/>
    <w:rsid w:val="007C72F1"/>
    <w:rPr>
      <w:lang w:val="fi-FI"/>
    </w:rPr>
  </w:style>
  <w:style w:type="paragraph" w:customStyle="1" w:styleId="NumPar1">
    <w:name w:val="NumPar 1"/>
    <w:basedOn w:val="Normal"/>
    <w:next w:val="Normal"/>
    <w:rsid w:val="004A1545"/>
    <w:pPr>
      <w:numPr>
        <w:numId w:val="6"/>
      </w:numPr>
      <w:spacing w:before="120" w:after="120"/>
      <w:jc w:val="both"/>
    </w:pPr>
    <w:rPr>
      <w:rFonts w:ascii="Times New Roman" w:hAnsi="Times New Roman" w:cs="Times New Roman"/>
      <w:sz w:val="24"/>
    </w:rPr>
  </w:style>
  <w:style w:type="paragraph" w:customStyle="1" w:styleId="NumPar2">
    <w:name w:val="NumPar 2"/>
    <w:basedOn w:val="Normal"/>
    <w:next w:val="Normal"/>
    <w:rsid w:val="004A1545"/>
    <w:pPr>
      <w:numPr>
        <w:ilvl w:val="1"/>
        <w:numId w:val="6"/>
      </w:numPr>
      <w:spacing w:before="120" w:after="120"/>
      <w:jc w:val="both"/>
    </w:pPr>
    <w:rPr>
      <w:rFonts w:ascii="Times New Roman" w:hAnsi="Times New Roman" w:cs="Times New Roman"/>
      <w:sz w:val="24"/>
    </w:rPr>
  </w:style>
  <w:style w:type="paragraph" w:customStyle="1" w:styleId="NumPar3">
    <w:name w:val="NumPar 3"/>
    <w:basedOn w:val="Normal"/>
    <w:next w:val="Normal"/>
    <w:rsid w:val="004A1545"/>
    <w:pPr>
      <w:numPr>
        <w:ilvl w:val="2"/>
        <w:numId w:val="6"/>
      </w:numPr>
      <w:spacing w:before="120" w:after="120"/>
      <w:jc w:val="both"/>
    </w:pPr>
    <w:rPr>
      <w:rFonts w:ascii="Times New Roman" w:hAnsi="Times New Roman" w:cs="Times New Roman"/>
      <w:sz w:val="24"/>
    </w:rPr>
  </w:style>
  <w:style w:type="paragraph" w:customStyle="1" w:styleId="NumPar4">
    <w:name w:val="NumPar 4"/>
    <w:basedOn w:val="Normal"/>
    <w:next w:val="Normal"/>
    <w:rsid w:val="004A1545"/>
    <w:pPr>
      <w:numPr>
        <w:ilvl w:val="3"/>
        <w:numId w:val="6"/>
      </w:numPr>
      <w:spacing w:before="120" w:after="120"/>
      <w:jc w:val="both"/>
    </w:pPr>
    <w:rPr>
      <w:rFonts w:ascii="Times New Roman" w:hAnsi="Times New Roman" w:cs="Times New Roman"/>
      <w:sz w:val="24"/>
    </w:rPr>
  </w:style>
  <w:style w:type="paragraph" w:styleId="Caption">
    <w:name w:val="caption"/>
    <w:basedOn w:val="Normal"/>
    <w:next w:val="Normal"/>
    <w:uiPriority w:val="35"/>
    <w:unhideWhenUsed/>
    <w:qFormat/>
    <w:rsid w:val="000E773E"/>
    <w:pPr>
      <w:spacing w:after="200"/>
    </w:pPr>
    <w:rPr>
      <w:i/>
      <w:iCs/>
      <w:color w:val="23236E" w:themeColor="text2"/>
      <w:sz w:val="18"/>
      <w:szCs w:val="18"/>
    </w:rPr>
  </w:style>
  <w:style w:type="character" w:styleId="LineNumber">
    <w:name w:val="line number"/>
    <w:basedOn w:val="DefaultParagraphFont"/>
    <w:uiPriority w:val="99"/>
    <w:semiHidden/>
    <w:unhideWhenUsed/>
    <w:rsid w:val="003024C9"/>
  </w:style>
  <w:style w:type="paragraph" w:customStyle="1" w:styleId="Standard1">
    <w:name w:val="Standard1"/>
    <w:basedOn w:val="Normal"/>
    <w:rsid w:val="009C48C1"/>
    <w:pPr>
      <w:spacing w:before="120"/>
      <w:jc w:val="both"/>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0299">
      <w:bodyDiv w:val="1"/>
      <w:marLeft w:val="0"/>
      <w:marRight w:val="0"/>
      <w:marTop w:val="0"/>
      <w:marBottom w:val="0"/>
      <w:divBdr>
        <w:top w:val="none" w:sz="0" w:space="0" w:color="auto"/>
        <w:left w:val="none" w:sz="0" w:space="0" w:color="auto"/>
        <w:bottom w:val="none" w:sz="0" w:space="0" w:color="auto"/>
        <w:right w:val="none" w:sz="0" w:space="0" w:color="auto"/>
      </w:divBdr>
    </w:div>
    <w:div w:id="69279379">
      <w:bodyDiv w:val="1"/>
      <w:marLeft w:val="0"/>
      <w:marRight w:val="0"/>
      <w:marTop w:val="0"/>
      <w:marBottom w:val="0"/>
      <w:divBdr>
        <w:top w:val="none" w:sz="0" w:space="0" w:color="auto"/>
        <w:left w:val="none" w:sz="0" w:space="0" w:color="auto"/>
        <w:bottom w:val="none" w:sz="0" w:space="0" w:color="auto"/>
        <w:right w:val="none" w:sz="0" w:space="0" w:color="auto"/>
      </w:divBdr>
    </w:div>
    <w:div w:id="169298124">
      <w:bodyDiv w:val="1"/>
      <w:marLeft w:val="0"/>
      <w:marRight w:val="0"/>
      <w:marTop w:val="0"/>
      <w:marBottom w:val="0"/>
      <w:divBdr>
        <w:top w:val="none" w:sz="0" w:space="0" w:color="auto"/>
        <w:left w:val="none" w:sz="0" w:space="0" w:color="auto"/>
        <w:bottom w:val="none" w:sz="0" w:space="0" w:color="auto"/>
        <w:right w:val="none" w:sz="0" w:space="0" w:color="auto"/>
      </w:divBdr>
    </w:div>
    <w:div w:id="188225808">
      <w:bodyDiv w:val="1"/>
      <w:marLeft w:val="0"/>
      <w:marRight w:val="0"/>
      <w:marTop w:val="0"/>
      <w:marBottom w:val="0"/>
      <w:divBdr>
        <w:top w:val="none" w:sz="0" w:space="0" w:color="auto"/>
        <w:left w:val="none" w:sz="0" w:space="0" w:color="auto"/>
        <w:bottom w:val="none" w:sz="0" w:space="0" w:color="auto"/>
        <w:right w:val="none" w:sz="0" w:space="0" w:color="auto"/>
      </w:divBdr>
    </w:div>
    <w:div w:id="302084168">
      <w:bodyDiv w:val="1"/>
      <w:marLeft w:val="0"/>
      <w:marRight w:val="0"/>
      <w:marTop w:val="0"/>
      <w:marBottom w:val="0"/>
      <w:divBdr>
        <w:top w:val="none" w:sz="0" w:space="0" w:color="auto"/>
        <w:left w:val="none" w:sz="0" w:space="0" w:color="auto"/>
        <w:bottom w:val="none" w:sz="0" w:space="0" w:color="auto"/>
        <w:right w:val="none" w:sz="0" w:space="0" w:color="auto"/>
      </w:divBdr>
    </w:div>
    <w:div w:id="401604933">
      <w:bodyDiv w:val="1"/>
      <w:marLeft w:val="0"/>
      <w:marRight w:val="0"/>
      <w:marTop w:val="0"/>
      <w:marBottom w:val="0"/>
      <w:divBdr>
        <w:top w:val="none" w:sz="0" w:space="0" w:color="auto"/>
        <w:left w:val="none" w:sz="0" w:space="0" w:color="auto"/>
        <w:bottom w:val="none" w:sz="0" w:space="0" w:color="auto"/>
        <w:right w:val="none" w:sz="0" w:space="0" w:color="auto"/>
      </w:divBdr>
    </w:div>
    <w:div w:id="642392771">
      <w:bodyDiv w:val="1"/>
      <w:marLeft w:val="0"/>
      <w:marRight w:val="0"/>
      <w:marTop w:val="0"/>
      <w:marBottom w:val="0"/>
      <w:divBdr>
        <w:top w:val="none" w:sz="0" w:space="0" w:color="auto"/>
        <w:left w:val="none" w:sz="0" w:space="0" w:color="auto"/>
        <w:bottom w:val="none" w:sz="0" w:space="0" w:color="auto"/>
        <w:right w:val="none" w:sz="0" w:space="0" w:color="auto"/>
      </w:divBdr>
    </w:div>
    <w:div w:id="735592175">
      <w:bodyDiv w:val="1"/>
      <w:marLeft w:val="0"/>
      <w:marRight w:val="0"/>
      <w:marTop w:val="0"/>
      <w:marBottom w:val="0"/>
      <w:divBdr>
        <w:top w:val="none" w:sz="0" w:space="0" w:color="auto"/>
        <w:left w:val="none" w:sz="0" w:space="0" w:color="auto"/>
        <w:bottom w:val="none" w:sz="0" w:space="0" w:color="auto"/>
        <w:right w:val="none" w:sz="0" w:space="0" w:color="auto"/>
      </w:divBdr>
    </w:div>
    <w:div w:id="761298046">
      <w:bodyDiv w:val="1"/>
      <w:marLeft w:val="0"/>
      <w:marRight w:val="0"/>
      <w:marTop w:val="0"/>
      <w:marBottom w:val="0"/>
      <w:divBdr>
        <w:top w:val="none" w:sz="0" w:space="0" w:color="auto"/>
        <w:left w:val="none" w:sz="0" w:space="0" w:color="auto"/>
        <w:bottom w:val="none" w:sz="0" w:space="0" w:color="auto"/>
        <w:right w:val="none" w:sz="0" w:space="0" w:color="auto"/>
      </w:divBdr>
    </w:div>
    <w:div w:id="802579339">
      <w:bodyDiv w:val="1"/>
      <w:marLeft w:val="0"/>
      <w:marRight w:val="0"/>
      <w:marTop w:val="0"/>
      <w:marBottom w:val="0"/>
      <w:divBdr>
        <w:top w:val="none" w:sz="0" w:space="0" w:color="auto"/>
        <w:left w:val="none" w:sz="0" w:space="0" w:color="auto"/>
        <w:bottom w:val="none" w:sz="0" w:space="0" w:color="auto"/>
        <w:right w:val="none" w:sz="0" w:space="0" w:color="auto"/>
      </w:divBdr>
      <w:divsChild>
        <w:div w:id="240527733">
          <w:marLeft w:val="547"/>
          <w:marRight w:val="0"/>
          <w:marTop w:val="0"/>
          <w:marBottom w:val="0"/>
          <w:divBdr>
            <w:top w:val="none" w:sz="0" w:space="0" w:color="auto"/>
            <w:left w:val="none" w:sz="0" w:space="0" w:color="auto"/>
            <w:bottom w:val="none" w:sz="0" w:space="0" w:color="auto"/>
            <w:right w:val="none" w:sz="0" w:space="0" w:color="auto"/>
          </w:divBdr>
        </w:div>
        <w:div w:id="333382749">
          <w:marLeft w:val="547"/>
          <w:marRight w:val="0"/>
          <w:marTop w:val="0"/>
          <w:marBottom w:val="0"/>
          <w:divBdr>
            <w:top w:val="none" w:sz="0" w:space="0" w:color="auto"/>
            <w:left w:val="none" w:sz="0" w:space="0" w:color="auto"/>
            <w:bottom w:val="none" w:sz="0" w:space="0" w:color="auto"/>
            <w:right w:val="none" w:sz="0" w:space="0" w:color="auto"/>
          </w:divBdr>
        </w:div>
        <w:div w:id="161624788">
          <w:marLeft w:val="547"/>
          <w:marRight w:val="0"/>
          <w:marTop w:val="0"/>
          <w:marBottom w:val="0"/>
          <w:divBdr>
            <w:top w:val="none" w:sz="0" w:space="0" w:color="auto"/>
            <w:left w:val="none" w:sz="0" w:space="0" w:color="auto"/>
            <w:bottom w:val="none" w:sz="0" w:space="0" w:color="auto"/>
            <w:right w:val="none" w:sz="0" w:space="0" w:color="auto"/>
          </w:divBdr>
        </w:div>
        <w:div w:id="2092314378">
          <w:marLeft w:val="547"/>
          <w:marRight w:val="0"/>
          <w:marTop w:val="0"/>
          <w:marBottom w:val="0"/>
          <w:divBdr>
            <w:top w:val="none" w:sz="0" w:space="0" w:color="auto"/>
            <w:left w:val="none" w:sz="0" w:space="0" w:color="auto"/>
            <w:bottom w:val="none" w:sz="0" w:space="0" w:color="auto"/>
            <w:right w:val="none" w:sz="0" w:space="0" w:color="auto"/>
          </w:divBdr>
        </w:div>
      </w:divsChild>
    </w:div>
    <w:div w:id="915163957">
      <w:bodyDiv w:val="1"/>
      <w:marLeft w:val="0"/>
      <w:marRight w:val="0"/>
      <w:marTop w:val="0"/>
      <w:marBottom w:val="0"/>
      <w:divBdr>
        <w:top w:val="none" w:sz="0" w:space="0" w:color="auto"/>
        <w:left w:val="none" w:sz="0" w:space="0" w:color="auto"/>
        <w:bottom w:val="none" w:sz="0" w:space="0" w:color="auto"/>
        <w:right w:val="none" w:sz="0" w:space="0" w:color="auto"/>
      </w:divBdr>
      <w:divsChild>
        <w:div w:id="1190072783">
          <w:marLeft w:val="547"/>
          <w:marRight w:val="0"/>
          <w:marTop w:val="0"/>
          <w:marBottom w:val="0"/>
          <w:divBdr>
            <w:top w:val="none" w:sz="0" w:space="0" w:color="auto"/>
            <w:left w:val="none" w:sz="0" w:space="0" w:color="auto"/>
            <w:bottom w:val="none" w:sz="0" w:space="0" w:color="auto"/>
            <w:right w:val="none" w:sz="0" w:space="0" w:color="auto"/>
          </w:divBdr>
        </w:div>
      </w:divsChild>
    </w:div>
    <w:div w:id="919485824">
      <w:bodyDiv w:val="1"/>
      <w:marLeft w:val="0"/>
      <w:marRight w:val="0"/>
      <w:marTop w:val="0"/>
      <w:marBottom w:val="0"/>
      <w:divBdr>
        <w:top w:val="none" w:sz="0" w:space="0" w:color="auto"/>
        <w:left w:val="none" w:sz="0" w:space="0" w:color="auto"/>
        <w:bottom w:val="none" w:sz="0" w:space="0" w:color="auto"/>
        <w:right w:val="none" w:sz="0" w:space="0" w:color="auto"/>
      </w:divBdr>
    </w:div>
    <w:div w:id="1133911758">
      <w:bodyDiv w:val="1"/>
      <w:marLeft w:val="0"/>
      <w:marRight w:val="0"/>
      <w:marTop w:val="0"/>
      <w:marBottom w:val="0"/>
      <w:divBdr>
        <w:top w:val="none" w:sz="0" w:space="0" w:color="auto"/>
        <w:left w:val="none" w:sz="0" w:space="0" w:color="auto"/>
        <w:bottom w:val="none" w:sz="0" w:space="0" w:color="auto"/>
        <w:right w:val="none" w:sz="0" w:space="0" w:color="auto"/>
      </w:divBdr>
    </w:div>
    <w:div w:id="1170565438">
      <w:bodyDiv w:val="1"/>
      <w:marLeft w:val="0"/>
      <w:marRight w:val="0"/>
      <w:marTop w:val="0"/>
      <w:marBottom w:val="0"/>
      <w:divBdr>
        <w:top w:val="none" w:sz="0" w:space="0" w:color="auto"/>
        <w:left w:val="none" w:sz="0" w:space="0" w:color="auto"/>
        <w:bottom w:val="none" w:sz="0" w:space="0" w:color="auto"/>
        <w:right w:val="none" w:sz="0" w:space="0" w:color="auto"/>
      </w:divBdr>
    </w:div>
    <w:div w:id="1228423222">
      <w:bodyDiv w:val="1"/>
      <w:marLeft w:val="390"/>
      <w:marRight w:val="390"/>
      <w:marTop w:val="0"/>
      <w:marBottom w:val="0"/>
      <w:divBdr>
        <w:top w:val="none" w:sz="0" w:space="0" w:color="auto"/>
        <w:left w:val="none" w:sz="0" w:space="0" w:color="auto"/>
        <w:bottom w:val="none" w:sz="0" w:space="0" w:color="auto"/>
        <w:right w:val="none" w:sz="0" w:space="0" w:color="auto"/>
      </w:divBdr>
      <w:divsChild>
        <w:div w:id="2116317020">
          <w:marLeft w:val="0"/>
          <w:marRight w:val="0"/>
          <w:marTop w:val="0"/>
          <w:marBottom w:val="0"/>
          <w:divBdr>
            <w:top w:val="none" w:sz="0" w:space="0" w:color="auto"/>
            <w:left w:val="none" w:sz="0" w:space="0" w:color="auto"/>
            <w:bottom w:val="none" w:sz="0" w:space="0" w:color="auto"/>
            <w:right w:val="none" w:sz="0" w:space="0" w:color="auto"/>
          </w:divBdr>
          <w:divsChild>
            <w:div w:id="1997419854">
              <w:marLeft w:val="0"/>
              <w:marRight w:val="0"/>
              <w:marTop w:val="0"/>
              <w:marBottom w:val="0"/>
              <w:divBdr>
                <w:top w:val="none" w:sz="0" w:space="0" w:color="auto"/>
                <w:left w:val="none" w:sz="0" w:space="0" w:color="auto"/>
                <w:bottom w:val="none" w:sz="0" w:space="0" w:color="auto"/>
                <w:right w:val="none" w:sz="0" w:space="0" w:color="auto"/>
              </w:divBdr>
              <w:divsChild>
                <w:div w:id="1240292955">
                  <w:marLeft w:val="-150"/>
                  <w:marRight w:val="-150"/>
                  <w:marTop w:val="0"/>
                  <w:marBottom w:val="0"/>
                  <w:divBdr>
                    <w:top w:val="none" w:sz="0" w:space="0" w:color="auto"/>
                    <w:left w:val="none" w:sz="0" w:space="0" w:color="auto"/>
                    <w:bottom w:val="none" w:sz="0" w:space="0" w:color="auto"/>
                    <w:right w:val="none" w:sz="0" w:space="0" w:color="auto"/>
                  </w:divBdr>
                  <w:divsChild>
                    <w:div w:id="19025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755204">
      <w:bodyDiv w:val="1"/>
      <w:marLeft w:val="0"/>
      <w:marRight w:val="0"/>
      <w:marTop w:val="0"/>
      <w:marBottom w:val="0"/>
      <w:divBdr>
        <w:top w:val="none" w:sz="0" w:space="0" w:color="auto"/>
        <w:left w:val="none" w:sz="0" w:space="0" w:color="auto"/>
        <w:bottom w:val="none" w:sz="0" w:space="0" w:color="auto"/>
        <w:right w:val="none" w:sz="0" w:space="0" w:color="auto"/>
      </w:divBdr>
    </w:div>
    <w:div w:id="1518807986">
      <w:bodyDiv w:val="1"/>
      <w:marLeft w:val="0"/>
      <w:marRight w:val="0"/>
      <w:marTop w:val="0"/>
      <w:marBottom w:val="0"/>
      <w:divBdr>
        <w:top w:val="none" w:sz="0" w:space="0" w:color="auto"/>
        <w:left w:val="none" w:sz="0" w:space="0" w:color="auto"/>
        <w:bottom w:val="none" w:sz="0" w:space="0" w:color="auto"/>
        <w:right w:val="none" w:sz="0" w:space="0" w:color="auto"/>
      </w:divBdr>
    </w:div>
    <w:div w:id="1520923059">
      <w:bodyDiv w:val="1"/>
      <w:marLeft w:val="0"/>
      <w:marRight w:val="0"/>
      <w:marTop w:val="0"/>
      <w:marBottom w:val="0"/>
      <w:divBdr>
        <w:top w:val="none" w:sz="0" w:space="0" w:color="auto"/>
        <w:left w:val="none" w:sz="0" w:space="0" w:color="auto"/>
        <w:bottom w:val="none" w:sz="0" w:space="0" w:color="auto"/>
        <w:right w:val="none" w:sz="0" w:space="0" w:color="auto"/>
      </w:divBdr>
    </w:div>
    <w:div w:id="1627152331">
      <w:bodyDiv w:val="1"/>
      <w:marLeft w:val="0"/>
      <w:marRight w:val="0"/>
      <w:marTop w:val="0"/>
      <w:marBottom w:val="0"/>
      <w:divBdr>
        <w:top w:val="none" w:sz="0" w:space="0" w:color="auto"/>
        <w:left w:val="none" w:sz="0" w:space="0" w:color="auto"/>
        <w:bottom w:val="none" w:sz="0" w:space="0" w:color="auto"/>
        <w:right w:val="none" w:sz="0" w:space="0" w:color="auto"/>
      </w:divBdr>
    </w:div>
    <w:div w:id="1727491023">
      <w:bodyDiv w:val="1"/>
      <w:marLeft w:val="0"/>
      <w:marRight w:val="0"/>
      <w:marTop w:val="0"/>
      <w:marBottom w:val="0"/>
      <w:divBdr>
        <w:top w:val="none" w:sz="0" w:space="0" w:color="auto"/>
        <w:left w:val="none" w:sz="0" w:space="0" w:color="auto"/>
        <w:bottom w:val="none" w:sz="0" w:space="0" w:color="auto"/>
        <w:right w:val="none" w:sz="0" w:space="0" w:color="auto"/>
      </w:divBdr>
    </w:div>
    <w:div w:id="1744371995">
      <w:bodyDiv w:val="1"/>
      <w:marLeft w:val="0"/>
      <w:marRight w:val="0"/>
      <w:marTop w:val="0"/>
      <w:marBottom w:val="0"/>
      <w:divBdr>
        <w:top w:val="none" w:sz="0" w:space="0" w:color="auto"/>
        <w:left w:val="none" w:sz="0" w:space="0" w:color="auto"/>
        <w:bottom w:val="none" w:sz="0" w:space="0" w:color="auto"/>
        <w:right w:val="none" w:sz="0" w:space="0" w:color="auto"/>
      </w:divBdr>
    </w:div>
    <w:div w:id="1745567611">
      <w:bodyDiv w:val="1"/>
      <w:marLeft w:val="0"/>
      <w:marRight w:val="0"/>
      <w:marTop w:val="0"/>
      <w:marBottom w:val="0"/>
      <w:divBdr>
        <w:top w:val="none" w:sz="0" w:space="0" w:color="auto"/>
        <w:left w:val="none" w:sz="0" w:space="0" w:color="auto"/>
        <w:bottom w:val="none" w:sz="0" w:space="0" w:color="auto"/>
        <w:right w:val="none" w:sz="0" w:space="0" w:color="auto"/>
      </w:divBdr>
    </w:div>
    <w:div w:id="2062895771">
      <w:bodyDiv w:val="1"/>
      <w:marLeft w:val="0"/>
      <w:marRight w:val="0"/>
      <w:marTop w:val="0"/>
      <w:marBottom w:val="0"/>
      <w:divBdr>
        <w:top w:val="none" w:sz="0" w:space="0" w:color="auto"/>
        <w:left w:val="none" w:sz="0" w:space="0" w:color="auto"/>
        <w:bottom w:val="none" w:sz="0" w:space="0" w:color="auto"/>
        <w:right w:val="none" w:sz="0" w:space="0" w:color="auto"/>
      </w:divBdr>
    </w:div>
    <w:div w:id="2072580184">
      <w:bodyDiv w:val="1"/>
      <w:marLeft w:val="0"/>
      <w:marRight w:val="0"/>
      <w:marTop w:val="0"/>
      <w:marBottom w:val="0"/>
      <w:divBdr>
        <w:top w:val="none" w:sz="0" w:space="0" w:color="auto"/>
        <w:left w:val="none" w:sz="0" w:space="0" w:color="auto"/>
        <w:bottom w:val="none" w:sz="0" w:space="0" w:color="auto"/>
        <w:right w:val="none" w:sz="0" w:space="0" w:color="auto"/>
      </w:divBdr>
    </w:div>
    <w:div w:id="20797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Company\Users\vveramyeva\AppData\Roaming\Microsoft\Templates\ENTSOE\140121_ENTSO-E_Template_Report_no%20LS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2177B848EC4D8DAAF49E065A155815"/>
        <w:category>
          <w:name w:val="General"/>
          <w:gallery w:val="placeholder"/>
        </w:category>
        <w:types>
          <w:type w:val="bbPlcHdr"/>
        </w:types>
        <w:behaviors>
          <w:behavior w:val="content"/>
        </w:behaviors>
        <w:guid w:val="{C939558C-28CB-4FF5-AA96-886B91BCB2B4}"/>
      </w:docPartPr>
      <w:docPartBody>
        <w:p w:rsidR="00544909" w:rsidRDefault="00061F71" w:rsidP="00061F71">
          <w:pPr>
            <w:pStyle w:val="DD2177B848EC4D8DAAF49E065A155815"/>
          </w:pPr>
          <w:r w:rsidRPr="000C30E5">
            <w:rPr>
              <w:rStyle w:val="Placehold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C1702"/>
    <w:rsid w:val="00030F2C"/>
    <w:rsid w:val="00050A72"/>
    <w:rsid w:val="00061F71"/>
    <w:rsid w:val="0006451E"/>
    <w:rsid w:val="000C1702"/>
    <w:rsid w:val="000C1A3F"/>
    <w:rsid w:val="000D5C2C"/>
    <w:rsid w:val="000F4763"/>
    <w:rsid w:val="001036F1"/>
    <w:rsid w:val="0012119C"/>
    <w:rsid w:val="001212EA"/>
    <w:rsid w:val="00127C44"/>
    <w:rsid w:val="00146659"/>
    <w:rsid w:val="00157173"/>
    <w:rsid w:val="001761B0"/>
    <w:rsid w:val="00184531"/>
    <w:rsid w:val="00191C78"/>
    <w:rsid w:val="001C26FA"/>
    <w:rsid w:val="001C56BF"/>
    <w:rsid w:val="001D574B"/>
    <w:rsid w:val="001E2871"/>
    <w:rsid w:val="002265A9"/>
    <w:rsid w:val="00243D3A"/>
    <w:rsid w:val="0024712D"/>
    <w:rsid w:val="00254C04"/>
    <w:rsid w:val="00286C41"/>
    <w:rsid w:val="00296C27"/>
    <w:rsid w:val="002C327B"/>
    <w:rsid w:val="002F769D"/>
    <w:rsid w:val="003001DF"/>
    <w:rsid w:val="00331E5B"/>
    <w:rsid w:val="00333020"/>
    <w:rsid w:val="00333798"/>
    <w:rsid w:val="00353B7E"/>
    <w:rsid w:val="0037162F"/>
    <w:rsid w:val="00390FCC"/>
    <w:rsid w:val="003B0C68"/>
    <w:rsid w:val="003C3806"/>
    <w:rsid w:val="003E3D5F"/>
    <w:rsid w:val="003F19CC"/>
    <w:rsid w:val="003F3585"/>
    <w:rsid w:val="004101BB"/>
    <w:rsid w:val="00426CFD"/>
    <w:rsid w:val="0044376D"/>
    <w:rsid w:val="00463DD8"/>
    <w:rsid w:val="0048070A"/>
    <w:rsid w:val="00491855"/>
    <w:rsid w:val="00494548"/>
    <w:rsid w:val="00495AFD"/>
    <w:rsid w:val="004B6E1C"/>
    <w:rsid w:val="004D059F"/>
    <w:rsid w:val="005059E7"/>
    <w:rsid w:val="005428DA"/>
    <w:rsid w:val="00544909"/>
    <w:rsid w:val="005630F1"/>
    <w:rsid w:val="005879B5"/>
    <w:rsid w:val="005941EB"/>
    <w:rsid w:val="005A26A3"/>
    <w:rsid w:val="005B4A3F"/>
    <w:rsid w:val="005C02AF"/>
    <w:rsid w:val="005D43D5"/>
    <w:rsid w:val="005D66E1"/>
    <w:rsid w:val="005E464A"/>
    <w:rsid w:val="005E6901"/>
    <w:rsid w:val="00604EDC"/>
    <w:rsid w:val="006054FD"/>
    <w:rsid w:val="00605961"/>
    <w:rsid w:val="006217A6"/>
    <w:rsid w:val="00622305"/>
    <w:rsid w:val="0065619D"/>
    <w:rsid w:val="00657CA0"/>
    <w:rsid w:val="00666A3B"/>
    <w:rsid w:val="00676B1B"/>
    <w:rsid w:val="00686D68"/>
    <w:rsid w:val="006A3C19"/>
    <w:rsid w:val="006A4E51"/>
    <w:rsid w:val="006B7F56"/>
    <w:rsid w:val="006D38D2"/>
    <w:rsid w:val="006F0D0D"/>
    <w:rsid w:val="006F4CE6"/>
    <w:rsid w:val="00700E72"/>
    <w:rsid w:val="007031E9"/>
    <w:rsid w:val="007045D1"/>
    <w:rsid w:val="00707A70"/>
    <w:rsid w:val="00722AEE"/>
    <w:rsid w:val="0072372D"/>
    <w:rsid w:val="00746202"/>
    <w:rsid w:val="00751447"/>
    <w:rsid w:val="007572A6"/>
    <w:rsid w:val="007A25A8"/>
    <w:rsid w:val="007B030A"/>
    <w:rsid w:val="007B4AC6"/>
    <w:rsid w:val="007C202E"/>
    <w:rsid w:val="007D20DE"/>
    <w:rsid w:val="007F1370"/>
    <w:rsid w:val="007F7CEE"/>
    <w:rsid w:val="00801837"/>
    <w:rsid w:val="00801CA6"/>
    <w:rsid w:val="00803EE1"/>
    <w:rsid w:val="00831BE1"/>
    <w:rsid w:val="008511D8"/>
    <w:rsid w:val="00861F6D"/>
    <w:rsid w:val="0087550D"/>
    <w:rsid w:val="0089539B"/>
    <w:rsid w:val="008B32A0"/>
    <w:rsid w:val="008C5782"/>
    <w:rsid w:val="008D354F"/>
    <w:rsid w:val="00916986"/>
    <w:rsid w:val="009211E7"/>
    <w:rsid w:val="00935465"/>
    <w:rsid w:val="0093562D"/>
    <w:rsid w:val="00954E7D"/>
    <w:rsid w:val="009936C7"/>
    <w:rsid w:val="009D7817"/>
    <w:rsid w:val="009E045D"/>
    <w:rsid w:val="00A10954"/>
    <w:rsid w:val="00A1347B"/>
    <w:rsid w:val="00A14A99"/>
    <w:rsid w:val="00A164DF"/>
    <w:rsid w:val="00A32B0A"/>
    <w:rsid w:val="00A37AB2"/>
    <w:rsid w:val="00A51B02"/>
    <w:rsid w:val="00A55839"/>
    <w:rsid w:val="00A75640"/>
    <w:rsid w:val="00AB288B"/>
    <w:rsid w:val="00B34BD9"/>
    <w:rsid w:val="00B432A0"/>
    <w:rsid w:val="00B51CCE"/>
    <w:rsid w:val="00B53701"/>
    <w:rsid w:val="00B82BF7"/>
    <w:rsid w:val="00B87DA8"/>
    <w:rsid w:val="00BA6DAF"/>
    <w:rsid w:val="00BC3453"/>
    <w:rsid w:val="00BF76A4"/>
    <w:rsid w:val="00C03342"/>
    <w:rsid w:val="00C1683C"/>
    <w:rsid w:val="00C22AD8"/>
    <w:rsid w:val="00C34F88"/>
    <w:rsid w:val="00C51ED2"/>
    <w:rsid w:val="00C77F2D"/>
    <w:rsid w:val="00C931DE"/>
    <w:rsid w:val="00CA02FA"/>
    <w:rsid w:val="00CA28E0"/>
    <w:rsid w:val="00CA3C0B"/>
    <w:rsid w:val="00CB0136"/>
    <w:rsid w:val="00CB0631"/>
    <w:rsid w:val="00CF16BF"/>
    <w:rsid w:val="00CF3B6D"/>
    <w:rsid w:val="00D04A0A"/>
    <w:rsid w:val="00D37EAF"/>
    <w:rsid w:val="00D41E98"/>
    <w:rsid w:val="00D450F2"/>
    <w:rsid w:val="00D47262"/>
    <w:rsid w:val="00D64F6C"/>
    <w:rsid w:val="00D90981"/>
    <w:rsid w:val="00D90BFF"/>
    <w:rsid w:val="00D910EA"/>
    <w:rsid w:val="00DB7881"/>
    <w:rsid w:val="00DD2100"/>
    <w:rsid w:val="00DE06A8"/>
    <w:rsid w:val="00DF08A2"/>
    <w:rsid w:val="00E11AE1"/>
    <w:rsid w:val="00E214D3"/>
    <w:rsid w:val="00E50292"/>
    <w:rsid w:val="00E53E4D"/>
    <w:rsid w:val="00E6204C"/>
    <w:rsid w:val="00E935B5"/>
    <w:rsid w:val="00EB1BEA"/>
    <w:rsid w:val="00EB644B"/>
    <w:rsid w:val="00EF574D"/>
    <w:rsid w:val="00F0401F"/>
    <w:rsid w:val="00F4137D"/>
    <w:rsid w:val="00F52621"/>
    <w:rsid w:val="00F57006"/>
    <w:rsid w:val="00F6651E"/>
    <w:rsid w:val="00F673CA"/>
    <w:rsid w:val="00F73DC9"/>
    <w:rsid w:val="00F7787F"/>
    <w:rsid w:val="00F82F17"/>
    <w:rsid w:val="00F91158"/>
    <w:rsid w:val="00FB3EC8"/>
    <w:rsid w:val="00FC0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45D"/>
    <w:rPr>
      <w:color w:val="808080"/>
    </w:rPr>
  </w:style>
  <w:style w:type="paragraph" w:customStyle="1" w:styleId="CDFDBB588FF544A2BE4B07EF265F4079">
    <w:name w:val="CDFDBB588FF544A2BE4B07EF265F4079"/>
    <w:rsid w:val="007C202E"/>
  </w:style>
  <w:style w:type="paragraph" w:customStyle="1" w:styleId="E4808C9FD07C476C8EEE44B0023B0EA1">
    <w:name w:val="E4808C9FD07C476C8EEE44B0023B0EA1"/>
    <w:rsid w:val="007C202E"/>
  </w:style>
  <w:style w:type="paragraph" w:customStyle="1" w:styleId="6A213B2B9CDA4A7D9AD80267A67DE97B">
    <w:name w:val="6A213B2B9CDA4A7D9AD80267A67DE97B"/>
    <w:rsid w:val="00861F6D"/>
  </w:style>
  <w:style w:type="paragraph" w:customStyle="1" w:styleId="C3E2D64D79544F05964D1032302263CA">
    <w:name w:val="C3E2D64D79544F05964D1032302263CA"/>
    <w:rsid w:val="00861F6D"/>
  </w:style>
  <w:style w:type="paragraph" w:customStyle="1" w:styleId="61DE4AE60CCB44C898F9278ADA225A7F">
    <w:name w:val="61DE4AE60CCB44C898F9278ADA225A7F"/>
    <w:rsid w:val="00861F6D"/>
  </w:style>
  <w:style w:type="paragraph" w:customStyle="1" w:styleId="3761179C89C24EE3A2D6537CA53132F6">
    <w:name w:val="3761179C89C24EE3A2D6537CA53132F6"/>
    <w:rsid w:val="00061F71"/>
  </w:style>
  <w:style w:type="paragraph" w:customStyle="1" w:styleId="DD2177B848EC4D8DAAF49E065A155815">
    <w:name w:val="DD2177B848EC4D8DAAF49E065A155815"/>
    <w:rsid w:val="00061F71"/>
  </w:style>
  <w:style w:type="paragraph" w:customStyle="1" w:styleId="078E53168CDE41F6A0E1054BFA46CD8A">
    <w:name w:val="078E53168CDE41F6A0E1054BFA46CD8A"/>
    <w:rsid w:val="00061F71"/>
  </w:style>
  <w:style w:type="paragraph" w:customStyle="1" w:styleId="0C65DDC7C16B4CCAA6E295AFF143C8E6">
    <w:name w:val="0C65DDC7C16B4CCAA6E295AFF143C8E6"/>
    <w:rsid w:val="00061F71"/>
  </w:style>
  <w:style w:type="paragraph" w:customStyle="1" w:styleId="C9192261F4D3AF4284E4A88759301CF3">
    <w:name w:val="C9192261F4D3AF4284E4A88759301CF3"/>
    <w:rsid w:val="009E045D"/>
    <w:pPr>
      <w:spacing w:after="0" w:line="240" w:lineRule="auto"/>
    </w:pPr>
    <w:rPr>
      <w:sz w:val="24"/>
      <w:szCs w:val="24"/>
      <w:lang w:eastAsia="zh-CN"/>
    </w:rPr>
  </w:style>
  <w:style w:type="paragraph" w:customStyle="1" w:styleId="F71D27DA1EE5444F9ED40C5198562C67">
    <w:name w:val="F71D27DA1EE5444F9ED40C5198562C67"/>
    <w:rsid w:val="009E045D"/>
    <w:pPr>
      <w:spacing w:after="0" w:line="240" w:lineRule="auto"/>
    </w:pPr>
    <w:rPr>
      <w:sz w:val="24"/>
      <w:szCs w:val="24"/>
      <w:lang w:eastAsia="zh-CN"/>
    </w:rPr>
  </w:style>
  <w:style w:type="paragraph" w:customStyle="1" w:styleId="29AB0EA86BE21242A7BD678372FB16EE">
    <w:name w:val="29AB0EA86BE21242A7BD678372FB16EE"/>
    <w:rsid w:val="009E045D"/>
    <w:pPr>
      <w:spacing w:after="0" w:line="240" w:lineRule="auto"/>
    </w:pPr>
    <w:rPr>
      <w:sz w:val="24"/>
      <w:szCs w:val="24"/>
      <w:lang w:eastAsia="zh-CN"/>
    </w:rPr>
  </w:style>
  <w:style w:type="paragraph" w:customStyle="1" w:styleId="743CB27413758746B894CAEEF937BCD5">
    <w:name w:val="743CB27413758746B894CAEEF937BCD5"/>
    <w:rsid w:val="009E045D"/>
    <w:pPr>
      <w:spacing w:after="0" w:line="240" w:lineRule="auto"/>
    </w:pPr>
    <w:rPr>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Entsoe">
      <a:dk1>
        <a:sysClr val="windowText" lastClr="000000"/>
      </a:dk1>
      <a:lt1>
        <a:sysClr val="window" lastClr="FFFFFF"/>
      </a:lt1>
      <a:dk2>
        <a:srgbClr val="23236E"/>
      </a:dk2>
      <a:lt2>
        <a:srgbClr val="636466"/>
      </a:lt2>
      <a:accent1>
        <a:srgbClr val="585C9F"/>
      </a:accent1>
      <a:accent2>
        <a:srgbClr val="797BB7"/>
      </a:accent2>
      <a:accent3>
        <a:srgbClr val="7F5A9B"/>
      </a:accent3>
      <a:accent4>
        <a:srgbClr val="B4B4C8"/>
      </a:accent4>
      <a:accent5>
        <a:srgbClr val="487BB4"/>
      </a:accent5>
      <a:accent6>
        <a:srgbClr val="9EBF57"/>
      </a:accent6>
      <a:hlink>
        <a:srgbClr val="0000FF"/>
      </a:hlink>
      <a:folHlink>
        <a:srgbClr val="800080"/>
      </a:folHlink>
    </a:clrScheme>
    <a:fontScheme name="Entsoe">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A10589CCFC674083F3A21ED8620A77" ma:contentTypeVersion="0" ma:contentTypeDescription="Create a new document." ma:contentTypeScope="" ma:versionID="c8ae01cf3f92cf0b3c5f015e57364935">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13020-ED37-46CE-86BF-CA854E2F0300}">
  <ds:schemaRefs>
    <ds:schemaRef ds:uri="http://schemas.microsoft.com/sharepoint/v3/contenttype/forms"/>
  </ds:schemaRefs>
</ds:datastoreItem>
</file>

<file path=customXml/itemProps2.xml><?xml version="1.0" encoding="utf-8"?>
<ds:datastoreItem xmlns:ds="http://schemas.openxmlformats.org/officeDocument/2006/customXml" ds:itemID="{BA357707-7CFB-4D99-B1C5-B676D27E6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40056C-A517-4123-B0B0-0297228A98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A16D7E-7DD9-4165-BB36-25742AA8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140121_ENTSO-E_Template_Report_no LSPp</Template>
  <TotalTime>0</TotalTime>
  <Pages>3</Pages>
  <Words>5566</Words>
  <Characters>31730</Characters>
  <Application>Microsoft Office Word</Application>
  <DocSecurity>0</DocSecurity>
  <Lines>264</Lines>
  <Paragraphs>74</Paragraphs>
  <ScaleCrop>false</ScaleCrop>
  <HeadingPairs>
    <vt:vector size="26" baseType="variant">
      <vt:variant>
        <vt:lpstr>Title</vt:lpstr>
      </vt:variant>
      <vt:variant>
        <vt:i4>1</vt:i4>
      </vt:variant>
      <vt:variant>
        <vt:lpstr>Naslov</vt:lpstr>
      </vt:variant>
      <vt:variant>
        <vt:i4>1</vt:i4>
      </vt:variant>
      <vt:variant>
        <vt:lpstr>Cím</vt:lpstr>
      </vt:variant>
      <vt:variant>
        <vt:i4>1</vt:i4>
      </vt:variant>
      <vt:variant>
        <vt:lpstr>Titel</vt:lpstr>
      </vt:variant>
      <vt:variant>
        <vt:i4>1</vt:i4>
      </vt:variant>
      <vt:variant>
        <vt:lpstr>Titre</vt:lpstr>
      </vt:variant>
      <vt:variant>
        <vt:i4>1</vt:i4>
      </vt:variant>
      <vt:variant>
        <vt:lpstr>Titolo</vt:lpstr>
      </vt:variant>
      <vt:variant>
        <vt:i4>1</vt:i4>
      </vt:variant>
      <vt:variant>
        <vt:lpstr>Tittel</vt:lpstr>
      </vt:variant>
      <vt:variant>
        <vt:i4>1</vt:i4>
      </vt:variant>
      <vt:variant>
        <vt:lpstr>Título</vt:lpstr>
      </vt:variant>
      <vt:variant>
        <vt:i4>1</vt:i4>
      </vt:variant>
      <vt:variant>
        <vt:lpstr>Názov</vt:lpstr>
      </vt:variant>
      <vt:variant>
        <vt:i4>1</vt:i4>
      </vt:variant>
      <vt:variant>
        <vt:lpstr>Tytuł</vt:lpstr>
      </vt:variant>
      <vt:variant>
        <vt:i4>1</vt:i4>
      </vt:variant>
      <vt:variant>
        <vt:lpstr>Rubrik</vt:lpstr>
      </vt:variant>
      <vt:variant>
        <vt:i4>1</vt:i4>
      </vt:variant>
      <vt:variant>
        <vt:lpstr>Otsikko</vt:lpstr>
      </vt:variant>
      <vt:variant>
        <vt:i4>1</vt:i4>
      </vt:variant>
      <vt:variant>
        <vt:lpstr>Název</vt:lpstr>
      </vt:variant>
      <vt:variant>
        <vt:i4>1</vt:i4>
      </vt:variant>
    </vt:vector>
  </HeadingPairs>
  <TitlesOfParts>
    <vt:vector size="13" baseType="lpstr">
      <vt:lpstr>Core CCR TSOs’ Methodology for an allocation process of cross-zonal capacity for the exchange of balancing capacity or sharing of reserves based on economic efficiency analysis in accordance with article 42 of the Commission Regulation on (EU) 2017/2195 o</vt:lpstr>
      <vt:lpstr>Core CCR TSOs’ Methodology for an allocation process of cross-zonal capacity for the exchange of balancing capacity or sharing of reserves based on economic efficiency analysis in accordance with article 42 of the Commission Regulation on (EU) 2017/2195 o</vt:lpstr>
      <vt:lpstr>Proposal for a methodology for an allocation process  of cross zonal capacity for the exchange of balancing capacity or sharing of reserves based on economic efficiency analysis in accordance with Article 42 of the Commission Regulation (EU) 2017/2195 of </vt:lpstr>
      <vt:lpstr>Proposal for a methodology for an allocation process  of cross zonal capacity for the exchange of balancing capacity or sharing of reserves based on economic efficiency analysis in accordance with Article 42 of the Commission Regulation (EU) 2017/2195 of </vt:lpstr>
      <vt:lpstr>Proposal for a Methodology for a market-based allocation process of cross zonal capacity for the exchange of balancing capacity or sharing of reserves in accordance with Article 41 of the Commission Regulation (EU) 2017/2195 of 23 November 2017 establishi</vt:lpstr>
      <vt:lpstr>Proposal for a Methodology for a market-based allocation process of cross-zonal capacity for the exchange of balancing capacity or sharing of reserves in accordance with Article 41 of the Commission Regulation (EU) 2017/2195 of 23 November 2017 establishi</vt:lpstr>
      <vt:lpstr>Proposal for a Methodology for a market-based allocation process of cross-zonal capacity for the exchange of balancing capacity or sharing of reserves in accordance with Article 41 of the Commission Regulation (EU) 2017/2195 of 23 November 2017 establishi</vt:lpstr>
      <vt:lpstr>All TSOs’ proposal for a Methodology for Calculating Scheduled Exchanges resulting from single intra-day coupling in accordance with Article 56 of the Commission Regulation (EU) 2015/1222 of 24 July 2015 establishing a guideline on capacity allocation and</vt:lpstr>
      <vt:lpstr>All TSOs’ proposal for a Methodology for Calculating Scheduled Exchanges resulting from single intraday coupling in accordance with Article 56 of the Commission Regulation (EU) 2015/1222 of 24 July 2015 establishing a guideline on capacity allocation and </vt:lpstr>
      <vt:lpstr>Draft methodology for calculating Scheduled Exchanges resulting from single day-ahead coupling</vt:lpstr>
      <vt:lpstr>Draft methodology for calculating Scheduled Exchanges resulting from single day-ahead coupling</vt:lpstr>
      <vt:lpstr>All TSOs’ proposal for the day-ahead firmness deadline (DAFD) in accordance with Article 69 of the Commission Regulation (EU) 2015/1222 of 24 July 2015 establishing a guideline on capacity allocation and congestion management</vt:lpstr>
      <vt:lpstr>All TSOs’ proposal for Capacity Calculation Regions (CCRs)</vt:lpstr>
    </vt:vector>
  </TitlesOfParts>
  <Manager/>
  <Company/>
  <LinksUpToDate>false</LinksUpToDate>
  <CharactersWithSpaces>37222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CCR TSOs’ Methodology for an allocation process of cross-zonal capacity for the exchange of balancing capacity or sharing of reserves based on economic efficiency analysis in accordance with article 42 of the Commission Regulation on (EU) 2017/2195 of 23 November 2017 establishing a guideline on electricity balancing</dc:title>
  <dc:creator/>
  <cp:lastModifiedBy/>
  <cp:revision>1</cp:revision>
  <cp:lastPrinted>2018-01-25T11:14:00Z</cp:lastPrinted>
  <dcterms:created xsi:type="dcterms:W3CDTF">2020-11-20T10:22:00Z</dcterms:created>
  <dcterms:modified xsi:type="dcterms:W3CDTF">2020-11-20T10:22:00Z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0x010100F2A10589CCFC674083F3A21ED8620A77</vt:lpwstr>
  </property>
  <property fmtid="{D5CDD505-2E9C-101B-9397-08002B2CF9AE}" pid="4" name="TaxKeyword">
    <vt:lpwstr/>
  </property>
  <property fmtid="{D5CDD505-2E9C-101B-9397-08002B2CF9AE}" pid="5" name="m21e1f176c4a4ad491d679d83442a8a3">
    <vt:lpwstr/>
  </property>
  <property fmtid="{D5CDD505-2E9C-101B-9397-08002B2CF9AE}" pid="6" name="b">
    <vt:lpwstr/>
  </property>
  <property fmtid="{D5CDD505-2E9C-101B-9397-08002B2CF9AE}" pid="7" name="Addo_DocID">
    <vt:lpwstr>6fbf3a3b-6786-4633-b863-d335d3e7fcf8</vt:lpwstr>
  </property>
</Properties>
</file>